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A97C" w14:textId="77777777" w:rsidR="009F0996" w:rsidRPr="009F0996" w:rsidRDefault="009F0996" w:rsidP="009F0996">
      <w:pPr>
        <w:keepNext/>
        <w:keepLines/>
        <w:spacing w:before="240" w:after="0"/>
        <w:outlineLvl w:val="0"/>
        <w:rPr>
          <w:rFonts w:asciiTheme="majorHAnsi" w:eastAsiaTheme="majorEastAsia" w:hAnsiTheme="majorHAnsi" w:cstheme="majorBidi"/>
          <w:color w:val="000000" w:themeColor="text1"/>
          <w:sz w:val="32"/>
          <w:szCs w:val="32"/>
        </w:rPr>
      </w:pPr>
      <w:bookmarkStart w:id="0" w:name="_Toc58245164"/>
      <w:r w:rsidRPr="009F0996">
        <w:rPr>
          <w:rFonts w:asciiTheme="majorHAnsi" w:eastAsiaTheme="majorEastAsia" w:hAnsiTheme="majorHAnsi" w:cstheme="majorBidi"/>
          <w:color w:val="000000" w:themeColor="text1"/>
          <w:sz w:val="32"/>
          <w:szCs w:val="32"/>
        </w:rPr>
        <w:t>Käyttötalousosan talousarvio vuodelle 2021 ja taloussuunnitelma vuosille 2022–2023</w:t>
      </w:r>
      <w:bookmarkEnd w:id="0"/>
    </w:p>
    <w:p w14:paraId="4DA0E232" w14:textId="77777777" w:rsidR="009F0996" w:rsidRPr="009F0996" w:rsidRDefault="009F0996" w:rsidP="009F0996">
      <w:pPr>
        <w:spacing w:line="256" w:lineRule="auto"/>
      </w:pPr>
    </w:p>
    <w:p w14:paraId="30128470" w14:textId="77777777" w:rsidR="009F0996" w:rsidRPr="009F0996" w:rsidRDefault="009F0996" w:rsidP="009F0996">
      <w:pPr>
        <w:spacing w:line="256" w:lineRule="auto"/>
      </w:pPr>
      <w:r w:rsidRPr="009F0996">
        <w:t xml:space="preserve">Käyttötalousosa pitää sisällään yleishallinnon, sosiaali- ja terveystoimen ja sivistystoimen sekä yhdyskuntapalvelut ja lisäksi muut palvelut ja liiketoiminnan. Käyttötalousosa on budjettirahoitteinen. Käyttötalousosan nettomääräinen raami oli 5 659 113 euroa, joka ylittyy 2021 vuonna 715 081 eurolla eli 12,6 %. Käyttötalousosa on näin ollen 6 374 194 euroa alijäämäinen. Myös suunnittelukaudet jäävät käyttötalouden osalta alijäämäisiksi. Vuodelle 2022 alijäämää on tulossa 6 232 639 euroa ja vuodelle 2023 taloussuunnitelman mukaan alijäämää tulisi 6 320 393 €. </w:t>
      </w:r>
    </w:p>
    <w:p w14:paraId="516F8238" w14:textId="77777777" w:rsidR="009F0996" w:rsidRPr="009F0996" w:rsidRDefault="009F0996" w:rsidP="009F0996">
      <w:pPr>
        <w:spacing w:line="256" w:lineRule="auto"/>
      </w:pPr>
    </w:p>
    <w:p w14:paraId="3DE38DC3" w14:textId="77777777" w:rsidR="009F0996" w:rsidRPr="009F0996" w:rsidRDefault="009F0996" w:rsidP="009F0996">
      <w:pPr>
        <w:keepNext/>
        <w:keepLines/>
        <w:spacing w:before="40" w:after="0"/>
        <w:outlineLvl w:val="1"/>
        <w:rPr>
          <w:rFonts w:eastAsiaTheme="majorEastAsia" w:cstheme="majorBidi"/>
          <w:b/>
          <w:color w:val="000000" w:themeColor="text1"/>
          <w:szCs w:val="26"/>
        </w:rPr>
      </w:pPr>
      <w:bookmarkStart w:id="1" w:name="_Toc58245165"/>
      <w:r w:rsidRPr="009F0996">
        <w:rPr>
          <w:rFonts w:eastAsiaTheme="majorEastAsia" w:cstheme="majorBidi"/>
          <w:b/>
          <w:color w:val="000000" w:themeColor="text1"/>
          <w:szCs w:val="26"/>
        </w:rPr>
        <w:t>10 Yleishallinto</w:t>
      </w:r>
      <w:bookmarkEnd w:id="1"/>
    </w:p>
    <w:p w14:paraId="5DC24F80" w14:textId="77777777" w:rsidR="009F0996" w:rsidRPr="009F0996" w:rsidRDefault="009F0996" w:rsidP="009F0996">
      <w:pPr>
        <w:spacing w:line="256" w:lineRule="auto"/>
      </w:pPr>
    </w:p>
    <w:p w14:paraId="0270BD4B" w14:textId="77777777" w:rsidR="009F0996" w:rsidRPr="009F0996" w:rsidRDefault="009F0996" w:rsidP="009F0996">
      <w:pPr>
        <w:spacing w:line="256" w:lineRule="auto"/>
      </w:pPr>
    </w:p>
    <w:p w14:paraId="3A1A86EA" w14:textId="77777777" w:rsidR="009F0996" w:rsidRPr="009F0996" w:rsidRDefault="009F0996" w:rsidP="009F0996">
      <w:pPr>
        <w:spacing w:line="256" w:lineRule="auto"/>
        <w:rPr>
          <w:b/>
          <w:bCs/>
        </w:rPr>
      </w:pPr>
      <w:r w:rsidRPr="009F0996">
        <w:rPr>
          <w:b/>
          <w:bCs/>
        </w:rPr>
        <w:t>Palvelusuunnitelman kuvaus</w:t>
      </w:r>
    </w:p>
    <w:p w14:paraId="26B6A058" w14:textId="77777777" w:rsidR="009F0996" w:rsidRPr="009F0996" w:rsidRDefault="009F0996" w:rsidP="009F0996">
      <w:pPr>
        <w:spacing w:line="256" w:lineRule="auto"/>
      </w:pPr>
      <w:r w:rsidRPr="009F0996">
        <w:t>Yleishallinnon tehtävänä on tuottaa päätöksentekopalveluita sekä koordinoida koko kunnan toimintaa. Toimistotehtävien osalta yleishallinto huolehtii vuonna 2021 kunnan kirjanpidosta ja keskusarkistosta. Palkanlaskenta ulkoistetaan vuoden 2021 kuluessa Kaustisen seutukunnan hoidettavaksi ja isännöintitehtävät siirretään tekniselle toimelle.</w:t>
      </w:r>
    </w:p>
    <w:p w14:paraId="47321893" w14:textId="77777777" w:rsidR="009F0996" w:rsidRPr="009F0996" w:rsidRDefault="009F0996" w:rsidP="009F0996">
      <w:pPr>
        <w:spacing w:line="256" w:lineRule="auto"/>
      </w:pPr>
      <w:r w:rsidRPr="009F0996">
        <w:t xml:space="preserve">Hallintojohtaja toimii mm. kunnassa henkilöstöpäällikkönä ja vastaa yleishallinnon osalta digitaalisten ratkaisujen eteenpäin viemisestä ja käyttöön ottamisesta. </w:t>
      </w:r>
    </w:p>
    <w:p w14:paraId="67E5999D" w14:textId="77777777" w:rsidR="009F0996" w:rsidRPr="009F0996" w:rsidRDefault="009F0996" w:rsidP="009F0996">
      <w:pPr>
        <w:spacing w:line="256" w:lineRule="auto"/>
      </w:pPr>
      <w:r w:rsidRPr="009F0996">
        <w:t>Kunnanjohtajan tehtäviin on liitetty elinkeinotoimen tehtäviä.</w:t>
      </w:r>
    </w:p>
    <w:p w14:paraId="6E43108C" w14:textId="77777777" w:rsidR="009F0996" w:rsidRPr="009F0996" w:rsidRDefault="009F0996" w:rsidP="009F0996">
      <w:pPr>
        <w:spacing w:line="256" w:lineRule="auto"/>
        <w:rPr>
          <w:b/>
          <w:bCs/>
        </w:rPr>
      </w:pPr>
    </w:p>
    <w:p w14:paraId="1DDEB602" w14:textId="77777777" w:rsidR="009F0996" w:rsidRPr="009F0996" w:rsidRDefault="009F0996" w:rsidP="009F0996">
      <w:pPr>
        <w:spacing w:line="256" w:lineRule="auto"/>
        <w:rPr>
          <w:b/>
          <w:bCs/>
        </w:rPr>
      </w:pPr>
      <w:r w:rsidRPr="009F0996">
        <w:rPr>
          <w:b/>
          <w:bCs/>
        </w:rPr>
        <w:t>Tavoitteet:</w:t>
      </w:r>
    </w:p>
    <w:tbl>
      <w:tblPr>
        <w:tblStyle w:val="Tummaruudukkotaulukko5-korostus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44"/>
        <w:gridCol w:w="2329"/>
        <w:gridCol w:w="2184"/>
        <w:gridCol w:w="2471"/>
      </w:tblGrid>
      <w:tr w:rsidR="009F0996" w:rsidRPr="009F0996" w14:paraId="4B9FF0D8" w14:textId="77777777" w:rsidTr="00E92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tcPr>
          <w:p w14:paraId="03F93AFB" w14:textId="77777777" w:rsidR="009F0996" w:rsidRPr="009F0996" w:rsidRDefault="009F0996" w:rsidP="009F0996">
            <w:pPr>
              <w:spacing w:line="256" w:lineRule="auto"/>
              <w:rPr>
                <w:color w:val="auto"/>
              </w:rPr>
            </w:pPr>
            <w:r w:rsidRPr="009F0996">
              <w:rPr>
                <w:color w:val="auto"/>
              </w:rPr>
              <w:t>Kuntastrategian 2018–2021 osa, mihin tavoite pohjautuu</w:t>
            </w:r>
          </w:p>
        </w:tc>
        <w:tc>
          <w:tcPr>
            <w:tcW w:w="2329" w:type="dxa"/>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0B5850E8" w14:textId="77777777" w:rsidR="009F0996" w:rsidRPr="009F0996" w:rsidRDefault="009F0996" w:rsidP="009F0996">
            <w:pPr>
              <w:spacing w:line="256" w:lineRule="auto"/>
              <w:cnfStyle w:val="100000000000" w:firstRow="1" w:lastRow="0" w:firstColumn="0" w:lastColumn="0" w:oddVBand="0" w:evenVBand="0" w:oddHBand="0" w:evenHBand="0" w:firstRowFirstColumn="0" w:firstRowLastColumn="0" w:lastRowFirstColumn="0" w:lastRowLastColumn="0"/>
              <w:rPr>
                <w:color w:val="auto"/>
              </w:rPr>
            </w:pPr>
            <w:r w:rsidRPr="009F0996">
              <w:rPr>
                <w:color w:val="auto"/>
              </w:rPr>
              <w:t>Tavoite</w:t>
            </w:r>
          </w:p>
        </w:tc>
        <w:tc>
          <w:tcPr>
            <w:tcW w:w="2184" w:type="dxa"/>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56247DB7" w14:textId="77777777" w:rsidR="009F0996" w:rsidRPr="009F0996" w:rsidRDefault="009F0996" w:rsidP="009F0996">
            <w:pPr>
              <w:spacing w:line="256" w:lineRule="auto"/>
              <w:cnfStyle w:val="100000000000" w:firstRow="1" w:lastRow="0" w:firstColumn="0" w:lastColumn="0" w:oddVBand="0" w:evenVBand="0" w:oddHBand="0" w:evenHBand="0" w:firstRowFirstColumn="0" w:firstRowLastColumn="0" w:lastRowFirstColumn="0" w:lastRowLastColumn="0"/>
              <w:rPr>
                <w:color w:val="auto"/>
              </w:rPr>
            </w:pPr>
            <w:r w:rsidRPr="009F0996">
              <w:rPr>
                <w:color w:val="auto"/>
              </w:rPr>
              <w:t>Mittari</w:t>
            </w:r>
          </w:p>
        </w:tc>
        <w:tc>
          <w:tcPr>
            <w:tcW w:w="2471" w:type="dxa"/>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50F7C07A" w14:textId="77777777" w:rsidR="009F0996" w:rsidRPr="009F0996" w:rsidRDefault="009F0996" w:rsidP="009F0996">
            <w:pPr>
              <w:spacing w:line="256" w:lineRule="auto"/>
              <w:cnfStyle w:val="100000000000" w:firstRow="1" w:lastRow="0" w:firstColumn="0" w:lastColumn="0" w:oddVBand="0" w:evenVBand="0" w:oddHBand="0" w:evenHBand="0" w:firstRowFirstColumn="0" w:firstRowLastColumn="0" w:lastRowFirstColumn="0" w:lastRowLastColumn="0"/>
              <w:rPr>
                <w:color w:val="auto"/>
              </w:rPr>
            </w:pPr>
            <w:r w:rsidRPr="009F0996">
              <w:rPr>
                <w:color w:val="auto"/>
              </w:rPr>
              <w:t>Tavoitearvo</w:t>
            </w:r>
          </w:p>
        </w:tc>
      </w:tr>
      <w:tr w:rsidR="009F0996" w:rsidRPr="009F0996" w14:paraId="599FAA9F" w14:textId="77777777" w:rsidTr="00E92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E77738" w14:textId="77777777" w:rsidR="009F0996" w:rsidRPr="009F0996" w:rsidRDefault="009F0996" w:rsidP="009F0996">
            <w:pPr>
              <w:spacing w:line="256" w:lineRule="auto"/>
              <w:rPr>
                <w:b w:val="0"/>
                <w:bCs w:val="0"/>
                <w:color w:val="auto"/>
              </w:rPr>
            </w:pPr>
            <w:r w:rsidRPr="009F0996">
              <w:rPr>
                <w:b w:val="0"/>
                <w:bCs w:val="0"/>
                <w:color w:val="auto"/>
              </w:rPr>
              <w:t>Kunnan johtavana periaatteena on kestävän kehityksen edistäminen.</w:t>
            </w:r>
          </w:p>
        </w:tc>
        <w:tc>
          <w:tcPr>
            <w:tcW w:w="2329" w:type="dxa"/>
            <w:tcBorders>
              <w:left w:val="single" w:sz="4" w:space="0" w:color="auto"/>
            </w:tcBorders>
            <w:shd w:val="clear" w:color="auto" w:fill="auto"/>
          </w:tcPr>
          <w:p w14:paraId="37D576A3"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Kokousasiakirjoissa siirrytään sähköiseen materiaaliin paperipostin sijasta</w:t>
            </w:r>
          </w:p>
        </w:tc>
        <w:tc>
          <w:tcPr>
            <w:tcW w:w="2184" w:type="dxa"/>
            <w:shd w:val="clear" w:color="auto" w:fill="auto"/>
          </w:tcPr>
          <w:p w14:paraId="13351625"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sähköisten materiaalien määrä vs. paperisina lähetetty</w:t>
            </w:r>
          </w:p>
        </w:tc>
        <w:tc>
          <w:tcPr>
            <w:tcW w:w="2471" w:type="dxa"/>
            <w:shd w:val="clear" w:color="auto" w:fill="auto"/>
          </w:tcPr>
          <w:p w14:paraId="769F557E"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31.12.2021 yli 80 % kunnanhallituksen kokousmateriaaleista toimitetaan sähköisesti.</w:t>
            </w:r>
          </w:p>
        </w:tc>
      </w:tr>
      <w:tr w:rsidR="009F0996" w:rsidRPr="009F0996" w14:paraId="60339068" w14:textId="77777777" w:rsidTr="00E92450">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618CAC" w14:textId="77777777" w:rsidR="009F0996" w:rsidRPr="009F0996" w:rsidRDefault="009F0996" w:rsidP="009F0996">
            <w:pPr>
              <w:spacing w:line="256" w:lineRule="auto"/>
              <w:rPr>
                <w:b w:val="0"/>
                <w:bCs w:val="0"/>
                <w:color w:val="auto"/>
              </w:rPr>
            </w:pPr>
            <w:r w:rsidRPr="009F0996">
              <w:rPr>
                <w:b w:val="0"/>
                <w:bCs w:val="0"/>
                <w:color w:val="auto"/>
              </w:rPr>
              <w:t>Henkilöstön ammattitaitoa ja työssä jaksamista ja viihtymistä tuetaan täydennyskoulutuksilla sekä työhyvinvointia tukevalla toiminnalla.</w:t>
            </w:r>
          </w:p>
        </w:tc>
        <w:tc>
          <w:tcPr>
            <w:tcW w:w="2329" w:type="dxa"/>
            <w:tcBorders>
              <w:left w:val="single" w:sz="4" w:space="0" w:color="auto"/>
            </w:tcBorders>
            <w:shd w:val="clear" w:color="auto" w:fill="auto"/>
          </w:tcPr>
          <w:p w14:paraId="025E8671"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Ammattitaitoinen ja motivoitunut henkilöstö.</w:t>
            </w:r>
          </w:p>
        </w:tc>
        <w:tc>
          <w:tcPr>
            <w:tcW w:w="2184" w:type="dxa"/>
            <w:shd w:val="clear" w:color="auto" w:fill="auto"/>
          </w:tcPr>
          <w:p w14:paraId="7F585C5D"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Henkilöstön koulutustarpeiden/</w:t>
            </w:r>
          </w:p>
          <w:p w14:paraId="7BDC4848"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toiveiden kartoitus</w:t>
            </w:r>
          </w:p>
          <w:p w14:paraId="4CCDE3AC"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Kehityskeskustelu</w:t>
            </w:r>
          </w:p>
        </w:tc>
        <w:tc>
          <w:tcPr>
            <w:tcW w:w="2471" w:type="dxa"/>
            <w:shd w:val="clear" w:color="auto" w:fill="auto"/>
          </w:tcPr>
          <w:p w14:paraId="11A41E85"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Jokaisen työntekijän kanssa käyty kehityskeskustelu vuoden 2021 loppuun mennessä.</w:t>
            </w:r>
          </w:p>
        </w:tc>
      </w:tr>
      <w:tr w:rsidR="009F0996" w:rsidRPr="009F0996" w14:paraId="21B3CE2E" w14:textId="77777777" w:rsidTr="00E92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37D98C" w14:textId="77777777" w:rsidR="009F0996" w:rsidRPr="009F0996" w:rsidRDefault="009F0996" w:rsidP="009F0996">
            <w:pPr>
              <w:spacing w:line="256" w:lineRule="auto"/>
              <w:rPr>
                <w:b w:val="0"/>
                <w:bCs w:val="0"/>
                <w:color w:val="auto"/>
              </w:rPr>
            </w:pPr>
            <w:r w:rsidRPr="009F0996">
              <w:rPr>
                <w:b w:val="0"/>
                <w:bCs w:val="0"/>
                <w:color w:val="auto"/>
              </w:rPr>
              <w:lastRenderedPageBreak/>
              <w:t>Varahenkilöjärjestelmä on kunnossa niin, että kunnan tarjoamien palveluiden jatkuvuus turvataan kaikissa tilanteissa.</w:t>
            </w:r>
          </w:p>
        </w:tc>
        <w:tc>
          <w:tcPr>
            <w:tcW w:w="2329" w:type="dxa"/>
            <w:tcBorders>
              <w:left w:val="single" w:sz="4" w:space="0" w:color="auto"/>
            </w:tcBorders>
            <w:shd w:val="clear" w:color="auto" w:fill="auto"/>
          </w:tcPr>
          <w:p w14:paraId="3AA19BB0"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Työntekijöiden keskeisimmistä tehtävistä löytyy kirjallinen ohje.</w:t>
            </w:r>
          </w:p>
        </w:tc>
        <w:tc>
          <w:tcPr>
            <w:tcW w:w="2184" w:type="dxa"/>
            <w:shd w:val="clear" w:color="auto" w:fill="auto"/>
          </w:tcPr>
          <w:p w14:paraId="64DE81E2"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Ohje/tehtävä</w:t>
            </w:r>
          </w:p>
        </w:tc>
        <w:tc>
          <w:tcPr>
            <w:tcW w:w="2471" w:type="dxa"/>
            <w:shd w:val="clear" w:color="auto" w:fill="auto"/>
          </w:tcPr>
          <w:p w14:paraId="472997DD"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Työn jatkumisen kannalta keskeisimmistä toiminnoista on laadittu kirjalliset työohjeet.</w:t>
            </w:r>
          </w:p>
        </w:tc>
      </w:tr>
      <w:tr w:rsidR="009F0996" w:rsidRPr="009F0996" w14:paraId="1544A9CF" w14:textId="77777777" w:rsidTr="00E92450">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F98CD6" w14:textId="77777777" w:rsidR="009F0996" w:rsidRPr="009F0996" w:rsidRDefault="009F0996" w:rsidP="009F0996">
            <w:pPr>
              <w:spacing w:line="256" w:lineRule="auto"/>
              <w:rPr>
                <w:b w:val="0"/>
                <w:bCs w:val="0"/>
                <w:color w:val="auto"/>
              </w:rPr>
            </w:pPr>
            <w:r w:rsidRPr="009F0996">
              <w:rPr>
                <w:b w:val="0"/>
                <w:bCs w:val="0"/>
                <w:color w:val="auto"/>
              </w:rPr>
              <w:t>Kunnan toiminta on läpinäkyvää ja avointa ja kunnan asioista tiedotetaan viestintäohjeen mukaisesti</w:t>
            </w:r>
          </w:p>
        </w:tc>
        <w:tc>
          <w:tcPr>
            <w:tcW w:w="2329" w:type="dxa"/>
            <w:tcBorders>
              <w:left w:val="single" w:sz="4" w:space="0" w:color="auto"/>
            </w:tcBorders>
            <w:shd w:val="clear" w:color="auto" w:fill="auto"/>
          </w:tcPr>
          <w:p w14:paraId="459CA437"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Kaikki päätökset saadaan nettiin nähtäville mahdollisimman pian.</w:t>
            </w:r>
          </w:p>
        </w:tc>
        <w:tc>
          <w:tcPr>
            <w:tcW w:w="2184" w:type="dxa"/>
            <w:shd w:val="clear" w:color="auto" w:fill="auto"/>
          </w:tcPr>
          <w:p w14:paraId="2554ADD8"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Aika, mikä kuluu päätöksen teosta sen julkaisemiseen netissä.</w:t>
            </w:r>
          </w:p>
        </w:tc>
        <w:tc>
          <w:tcPr>
            <w:tcW w:w="2471" w:type="dxa"/>
            <w:shd w:val="clear" w:color="auto" w:fill="auto"/>
          </w:tcPr>
          <w:p w14:paraId="3C9E0578" w14:textId="77777777" w:rsidR="009F0996" w:rsidRPr="009F0996" w:rsidRDefault="009F0996" w:rsidP="009F0996">
            <w:pPr>
              <w:spacing w:line="256" w:lineRule="auto"/>
              <w:cnfStyle w:val="000000000000" w:firstRow="0" w:lastRow="0" w:firstColumn="0" w:lastColumn="0" w:oddVBand="0" w:evenVBand="0" w:oddHBand="0" w:evenHBand="0" w:firstRowFirstColumn="0" w:firstRowLastColumn="0" w:lastRowFirstColumn="0" w:lastRowLastColumn="0"/>
            </w:pPr>
            <w:r w:rsidRPr="009F0996">
              <w:t>1 vrk</w:t>
            </w:r>
          </w:p>
        </w:tc>
      </w:tr>
      <w:tr w:rsidR="009F0996" w:rsidRPr="009F0996" w14:paraId="0092306E" w14:textId="77777777" w:rsidTr="00E92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331C2E" w14:textId="77777777" w:rsidR="009F0996" w:rsidRPr="009F0996" w:rsidRDefault="009F0996" w:rsidP="009F0996">
            <w:pPr>
              <w:spacing w:line="256" w:lineRule="auto"/>
              <w:rPr>
                <w:b w:val="0"/>
                <w:bCs w:val="0"/>
                <w:color w:val="auto"/>
              </w:rPr>
            </w:pPr>
            <w:r w:rsidRPr="009F0996">
              <w:rPr>
                <w:b w:val="0"/>
                <w:bCs w:val="0"/>
                <w:color w:val="auto"/>
              </w:rPr>
              <w:t>Kuntalaisilla on mahdollisuus vaikuttaa asioihin ja päätöksentekoon viestintäohjeen menetelmin.</w:t>
            </w:r>
          </w:p>
        </w:tc>
        <w:tc>
          <w:tcPr>
            <w:tcW w:w="2329" w:type="dxa"/>
            <w:tcBorders>
              <w:left w:val="single" w:sz="4" w:space="0" w:color="auto"/>
            </w:tcBorders>
            <w:shd w:val="clear" w:color="auto" w:fill="auto"/>
          </w:tcPr>
          <w:p w14:paraId="71CCCA1A"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Järjestetään kuntalaisten ja kunnan välisiä tapaamisia säännöllisesti.</w:t>
            </w:r>
          </w:p>
        </w:tc>
        <w:tc>
          <w:tcPr>
            <w:tcW w:w="2184" w:type="dxa"/>
            <w:shd w:val="clear" w:color="auto" w:fill="auto"/>
          </w:tcPr>
          <w:p w14:paraId="58724CE4" w14:textId="77777777" w:rsidR="009F0996" w:rsidRPr="009F0996" w:rsidRDefault="009F0996" w:rsidP="009F0996">
            <w:pPr>
              <w:spacing w:line="256" w:lineRule="auto"/>
              <w:cnfStyle w:val="000000100000" w:firstRow="0" w:lastRow="0" w:firstColumn="0" w:lastColumn="0" w:oddVBand="0" w:evenVBand="0" w:oddHBand="1" w:evenHBand="0" w:firstRowFirstColumn="0" w:firstRowLastColumn="0" w:lastRowFirstColumn="0" w:lastRowLastColumn="0"/>
            </w:pPr>
            <w:r w:rsidRPr="009F0996">
              <w:t>Tapaamisten määrä/vuosi</w:t>
            </w:r>
          </w:p>
        </w:tc>
        <w:tc>
          <w:tcPr>
            <w:tcW w:w="2471" w:type="dxa"/>
            <w:shd w:val="clear" w:color="auto" w:fill="auto"/>
          </w:tcPr>
          <w:p w14:paraId="33FCB400" w14:textId="77777777" w:rsidR="009F0996" w:rsidRPr="009F0996" w:rsidRDefault="009F0996" w:rsidP="009F0996">
            <w:pPr>
              <w:keepNext/>
              <w:spacing w:line="256" w:lineRule="auto"/>
              <w:cnfStyle w:val="000000100000" w:firstRow="0" w:lastRow="0" w:firstColumn="0" w:lastColumn="0" w:oddVBand="0" w:evenVBand="0" w:oddHBand="1" w:evenHBand="0" w:firstRowFirstColumn="0" w:firstRowLastColumn="0" w:lastRowFirstColumn="0" w:lastRowLastColumn="0"/>
            </w:pPr>
            <w:r w:rsidRPr="009F0996">
              <w:t>3–4</w:t>
            </w:r>
          </w:p>
        </w:tc>
      </w:tr>
    </w:tbl>
    <w:p w14:paraId="0358A9EE" w14:textId="77777777" w:rsidR="009F0996" w:rsidRPr="009F0996" w:rsidRDefault="009F0996" w:rsidP="009F0996">
      <w:pPr>
        <w:spacing w:after="200" w:line="240" w:lineRule="auto"/>
        <w:rPr>
          <w:i/>
          <w:iCs/>
          <w:color w:val="44546A" w:themeColor="text2"/>
          <w:sz w:val="18"/>
          <w:szCs w:val="18"/>
        </w:rPr>
      </w:pPr>
      <w:r w:rsidRPr="009F0996">
        <w:rPr>
          <w:i/>
          <w:iCs/>
          <w:color w:val="44546A" w:themeColor="text2"/>
          <w:sz w:val="18"/>
          <w:szCs w:val="18"/>
        </w:rPr>
        <w:t xml:space="preserve">Kuva </w:t>
      </w:r>
      <w:r w:rsidRPr="009F0996">
        <w:rPr>
          <w:i/>
          <w:iCs/>
          <w:color w:val="44546A" w:themeColor="text2"/>
          <w:sz w:val="18"/>
          <w:szCs w:val="18"/>
        </w:rPr>
        <w:fldChar w:fldCharType="begin"/>
      </w:r>
      <w:r w:rsidRPr="009F0996">
        <w:rPr>
          <w:i/>
          <w:iCs/>
          <w:color w:val="44546A" w:themeColor="text2"/>
          <w:sz w:val="18"/>
          <w:szCs w:val="18"/>
        </w:rPr>
        <w:instrText xml:space="preserve"> SEQ Kuva \* ARABIC </w:instrText>
      </w:r>
      <w:r w:rsidRPr="009F0996">
        <w:rPr>
          <w:i/>
          <w:iCs/>
          <w:color w:val="44546A" w:themeColor="text2"/>
          <w:sz w:val="18"/>
          <w:szCs w:val="18"/>
        </w:rPr>
        <w:fldChar w:fldCharType="separate"/>
      </w:r>
      <w:r w:rsidRPr="009F0996">
        <w:rPr>
          <w:i/>
          <w:iCs/>
          <w:noProof/>
          <w:color w:val="44546A" w:themeColor="text2"/>
          <w:sz w:val="18"/>
          <w:szCs w:val="18"/>
        </w:rPr>
        <w:t>10</w:t>
      </w:r>
      <w:r w:rsidRPr="009F0996">
        <w:rPr>
          <w:i/>
          <w:iCs/>
          <w:noProof/>
          <w:color w:val="44546A" w:themeColor="text2"/>
          <w:sz w:val="18"/>
          <w:szCs w:val="18"/>
        </w:rPr>
        <w:fldChar w:fldCharType="end"/>
      </w:r>
      <w:r w:rsidRPr="009F0996">
        <w:rPr>
          <w:i/>
          <w:iCs/>
          <w:color w:val="44546A" w:themeColor="text2"/>
          <w:sz w:val="18"/>
          <w:szCs w:val="18"/>
        </w:rPr>
        <w:t xml:space="preserve"> Yleishallinnon tavoitteet vuodelle 2021</w:t>
      </w:r>
    </w:p>
    <w:p w14:paraId="7B7BCB40" w14:textId="77777777" w:rsidR="009F0996" w:rsidRPr="009F0996" w:rsidRDefault="009F0996" w:rsidP="009F0996">
      <w:pPr>
        <w:spacing w:line="256" w:lineRule="auto"/>
      </w:pPr>
    </w:p>
    <w:p w14:paraId="57316000" w14:textId="77777777" w:rsidR="009F0996" w:rsidRPr="009F0996" w:rsidRDefault="009F0996" w:rsidP="009F0996">
      <w:pPr>
        <w:spacing w:line="256" w:lineRule="auto"/>
      </w:pPr>
      <w:r w:rsidRPr="009F0996">
        <w:t>Kuntastrategian lisäksi vaatimuksia ja tavoitteita kunnan toiminnalle asettaa uusi tiedonhallintalaki. Nämä vaatimukset aiheuttavat kunnalle myös taloudellisia kustannuksia lähivuosina, joten ne on hyvä ottaa mukaan talousarvion laadintaan tuleville vuosille.</w:t>
      </w:r>
    </w:p>
    <w:p w14:paraId="1C3CC36F" w14:textId="77777777" w:rsidR="009F0996" w:rsidRPr="009F0996" w:rsidRDefault="009F0996" w:rsidP="009F0996">
      <w:pPr>
        <w:spacing w:line="256" w:lineRule="auto"/>
      </w:pPr>
      <w:r w:rsidRPr="009F0996">
        <w:t xml:space="preserve"> </w:t>
      </w:r>
    </w:p>
    <w:p w14:paraId="62222E39" w14:textId="77777777" w:rsidR="009F0996" w:rsidRPr="009F0996" w:rsidRDefault="009F0996" w:rsidP="009F0996">
      <w:pPr>
        <w:spacing w:line="256" w:lineRule="auto"/>
      </w:pPr>
    </w:p>
    <w:tbl>
      <w:tblPr>
        <w:tblStyle w:val="TaulukkoRuudukko"/>
        <w:tblW w:w="0" w:type="auto"/>
        <w:tblLook w:val="04A0" w:firstRow="1" w:lastRow="0" w:firstColumn="1" w:lastColumn="0" w:noHBand="0" w:noVBand="1"/>
      </w:tblPr>
      <w:tblGrid>
        <w:gridCol w:w="2751"/>
        <w:gridCol w:w="2330"/>
        <w:gridCol w:w="2551"/>
        <w:gridCol w:w="1996"/>
      </w:tblGrid>
      <w:tr w:rsidR="009F0996" w:rsidRPr="009F0996" w14:paraId="2FD2F203" w14:textId="77777777" w:rsidTr="00E92450">
        <w:tc>
          <w:tcPr>
            <w:tcW w:w="2751" w:type="dxa"/>
            <w:shd w:val="clear" w:color="auto" w:fill="B4C6E7" w:themeFill="accent1" w:themeFillTint="66"/>
          </w:tcPr>
          <w:p w14:paraId="545423B0" w14:textId="77777777" w:rsidR="009F0996" w:rsidRPr="009F0996" w:rsidRDefault="009F0996" w:rsidP="009F0996">
            <w:pPr>
              <w:spacing w:line="256" w:lineRule="auto"/>
            </w:pPr>
            <w:r w:rsidRPr="009F0996">
              <w:t>Tiedonhallintalain osa, mihin tavoite pohjautuu</w:t>
            </w:r>
          </w:p>
        </w:tc>
        <w:tc>
          <w:tcPr>
            <w:tcW w:w="2330" w:type="dxa"/>
            <w:shd w:val="clear" w:color="auto" w:fill="B4C6E7" w:themeFill="accent1" w:themeFillTint="66"/>
          </w:tcPr>
          <w:p w14:paraId="3AE9EEC1" w14:textId="77777777" w:rsidR="009F0996" w:rsidRPr="009F0996" w:rsidRDefault="009F0996" w:rsidP="009F0996">
            <w:pPr>
              <w:spacing w:line="256" w:lineRule="auto"/>
            </w:pPr>
            <w:r w:rsidRPr="009F0996">
              <w:t>Tavoite</w:t>
            </w:r>
          </w:p>
        </w:tc>
        <w:tc>
          <w:tcPr>
            <w:tcW w:w="2551" w:type="dxa"/>
            <w:shd w:val="clear" w:color="auto" w:fill="B4C6E7" w:themeFill="accent1" w:themeFillTint="66"/>
          </w:tcPr>
          <w:p w14:paraId="3B793775" w14:textId="77777777" w:rsidR="009F0996" w:rsidRPr="009F0996" w:rsidRDefault="009F0996" w:rsidP="009F0996">
            <w:pPr>
              <w:spacing w:line="256" w:lineRule="auto"/>
            </w:pPr>
            <w:r w:rsidRPr="009F0996">
              <w:t>Tehtävä</w:t>
            </w:r>
          </w:p>
        </w:tc>
        <w:tc>
          <w:tcPr>
            <w:tcW w:w="1996" w:type="dxa"/>
            <w:shd w:val="clear" w:color="auto" w:fill="B4C6E7" w:themeFill="accent1" w:themeFillTint="66"/>
          </w:tcPr>
          <w:p w14:paraId="34515913" w14:textId="77777777" w:rsidR="009F0996" w:rsidRPr="009F0996" w:rsidRDefault="009F0996" w:rsidP="009F0996">
            <w:pPr>
              <w:spacing w:line="256" w:lineRule="auto"/>
            </w:pPr>
            <w:r w:rsidRPr="009F0996">
              <w:t xml:space="preserve">Oltava kunnossa </w:t>
            </w:r>
          </w:p>
        </w:tc>
      </w:tr>
      <w:tr w:rsidR="009F0996" w:rsidRPr="009F0996" w14:paraId="1AB5DD0A" w14:textId="77777777" w:rsidTr="00E92450">
        <w:tc>
          <w:tcPr>
            <w:tcW w:w="2751" w:type="dxa"/>
            <w:shd w:val="clear" w:color="auto" w:fill="DEEAF6" w:themeFill="accent5" w:themeFillTint="33"/>
          </w:tcPr>
          <w:p w14:paraId="4A9B3B33" w14:textId="77777777" w:rsidR="009F0996" w:rsidRPr="009F0996" w:rsidRDefault="009F0996" w:rsidP="009F0996">
            <w:pPr>
              <w:spacing w:line="256" w:lineRule="auto"/>
            </w:pPr>
            <w:r w:rsidRPr="009F0996">
              <w:t>Tiedonhallintayksikössä on ylläpidettävä sen toimintaympäristön tiedonhallintaa määrittelevää ja kuvaavaa tiedonhallintamallia.</w:t>
            </w:r>
          </w:p>
        </w:tc>
        <w:tc>
          <w:tcPr>
            <w:tcW w:w="2330" w:type="dxa"/>
          </w:tcPr>
          <w:p w14:paraId="403AF2C3" w14:textId="77777777" w:rsidR="009F0996" w:rsidRPr="009F0996" w:rsidRDefault="009F0996" w:rsidP="009F0996">
            <w:pPr>
              <w:spacing w:line="256" w:lineRule="auto"/>
            </w:pPr>
            <w:r w:rsidRPr="009F0996">
              <w:t>Kunnassa on tiedonhallintamalli, josta löytyy keskeisimmät asiakirjapohjat ja tiedot asiakirjojen julkisuudesta.</w:t>
            </w:r>
          </w:p>
        </w:tc>
        <w:tc>
          <w:tcPr>
            <w:tcW w:w="2551" w:type="dxa"/>
          </w:tcPr>
          <w:p w14:paraId="307FF783" w14:textId="77777777" w:rsidR="009F0996" w:rsidRPr="009F0996" w:rsidRDefault="009F0996" w:rsidP="009F0996">
            <w:pPr>
              <w:spacing w:line="256" w:lineRule="auto"/>
            </w:pPr>
            <w:r w:rsidRPr="009F0996">
              <w:t>Tiedonhallintamallin ylläpito</w:t>
            </w:r>
          </w:p>
        </w:tc>
        <w:tc>
          <w:tcPr>
            <w:tcW w:w="1996" w:type="dxa"/>
          </w:tcPr>
          <w:p w14:paraId="384719CF" w14:textId="77777777" w:rsidR="009F0996" w:rsidRPr="009F0996" w:rsidRDefault="009F0996" w:rsidP="009F0996">
            <w:pPr>
              <w:spacing w:line="256" w:lineRule="auto"/>
            </w:pPr>
            <w:r w:rsidRPr="009F0996">
              <w:t>2021</w:t>
            </w:r>
          </w:p>
        </w:tc>
      </w:tr>
      <w:tr w:rsidR="009F0996" w:rsidRPr="009F0996" w14:paraId="4D2FFDFC" w14:textId="77777777" w:rsidTr="00E92450">
        <w:tc>
          <w:tcPr>
            <w:tcW w:w="2751" w:type="dxa"/>
            <w:shd w:val="clear" w:color="auto" w:fill="DEEAF6" w:themeFill="accent5" w:themeFillTint="33"/>
          </w:tcPr>
          <w:p w14:paraId="4DED7D02" w14:textId="77777777" w:rsidR="009F0996" w:rsidRPr="009F0996" w:rsidRDefault="009F0996" w:rsidP="009F0996">
            <w:pPr>
              <w:spacing w:line="256" w:lineRule="auto"/>
            </w:pPr>
            <w:r w:rsidRPr="009F0996">
              <w:t>Viranomaisen on suunniteltava tietojärjestelmät, tietovarantojen tietorakenteet ja niihin liittyvä tietojenkäsittely siten, että asiakirjojen julkisuus voidaan vaivatta toteuttaa.</w:t>
            </w:r>
          </w:p>
        </w:tc>
        <w:tc>
          <w:tcPr>
            <w:tcW w:w="2330" w:type="dxa"/>
          </w:tcPr>
          <w:p w14:paraId="2AE18E4B" w14:textId="77777777" w:rsidR="009F0996" w:rsidRPr="009F0996" w:rsidRDefault="009F0996" w:rsidP="009F0996">
            <w:pPr>
              <w:spacing w:line="256" w:lineRule="auto"/>
            </w:pPr>
            <w:r w:rsidRPr="009F0996">
              <w:t>Asianhallinta ja palvelujen tiedonhallinnan järjestäminen lain vaatimusten mukaiseksi</w:t>
            </w:r>
          </w:p>
        </w:tc>
        <w:tc>
          <w:tcPr>
            <w:tcW w:w="2551" w:type="dxa"/>
          </w:tcPr>
          <w:p w14:paraId="2A1CA18C" w14:textId="77777777" w:rsidR="009F0996" w:rsidRPr="009F0996" w:rsidRDefault="009F0996" w:rsidP="009F0996">
            <w:pPr>
              <w:spacing w:line="256" w:lineRule="auto"/>
            </w:pPr>
            <w:r w:rsidRPr="009F0996">
              <w:t>Asianhallinta saatava sellaiseksi, jotta asiakirjan käsittelyn tilaa voidaan seurata.</w:t>
            </w:r>
          </w:p>
        </w:tc>
        <w:tc>
          <w:tcPr>
            <w:tcW w:w="1996" w:type="dxa"/>
          </w:tcPr>
          <w:p w14:paraId="276E4A95" w14:textId="77777777" w:rsidR="009F0996" w:rsidRPr="009F0996" w:rsidRDefault="009F0996" w:rsidP="009F0996">
            <w:pPr>
              <w:spacing w:line="256" w:lineRule="auto"/>
            </w:pPr>
            <w:r w:rsidRPr="009F0996">
              <w:t>2022</w:t>
            </w:r>
          </w:p>
        </w:tc>
      </w:tr>
      <w:tr w:rsidR="009F0996" w:rsidRPr="009F0996" w14:paraId="32424F14" w14:textId="77777777" w:rsidTr="00E92450">
        <w:tc>
          <w:tcPr>
            <w:tcW w:w="2751" w:type="dxa"/>
            <w:shd w:val="clear" w:color="auto" w:fill="DEEAF6" w:themeFill="accent5" w:themeFillTint="33"/>
          </w:tcPr>
          <w:p w14:paraId="452F8DCE" w14:textId="77777777" w:rsidR="009F0996" w:rsidRPr="009F0996" w:rsidRDefault="009F0996" w:rsidP="009F0996">
            <w:pPr>
              <w:spacing w:line="256" w:lineRule="auto"/>
            </w:pPr>
            <w:r w:rsidRPr="009F0996">
              <w:lastRenderedPageBreak/>
              <w:t>Tiedonhallintayksikön on seurattava toimintaympäristönsä tietoturvallisuuden tilaa ja varmistettava tietoaineistojen ja tietojärjestelmien tietoturvallisuus koko niiden elinkaaren ajan.</w:t>
            </w:r>
          </w:p>
          <w:p w14:paraId="4C5FE8D5" w14:textId="77777777" w:rsidR="009F0996" w:rsidRPr="009F0996" w:rsidRDefault="009F0996" w:rsidP="009F0996">
            <w:pPr>
              <w:spacing w:line="256" w:lineRule="auto"/>
            </w:pPr>
          </w:p>
        </w:tc>
        <w:tc>
          <w:tcPr>
            <w:tcW w:w="2330" w:type="dxa"/>
          </w:tcPr>
          <w:p w14:paraId="16741AC8" w14:textId="77777777" w:rsidR="009F0996" w:rsidRPr="009F0996" w:rsidRDefault="009F0996" w:rsidP="009F0996">
            <w:pPr>
              <w:spacing w:line="256" w:lineRule="auto"/>
              <w:rPr>
                <w:rFonts w:cs="Arial"/>
                <w:color w:val="444444"/>
                <w:sz w:val="23"/>
                <w:szCs w:val="23"/>
                <w:shd w:val="clear" w:color="auto" w:fill="FFFFFF"/>
              </w:rPr>
            </w:pPr>
            <w:r w:rsidRPr="009F0996">
              <w:rPr>
                <w:rFonts w:cs="Arial"/>
                <w:color w:val="444444"/>
                <w:sz w:val="23"/>
                <w:szCs w:val="23"/>
                <w:shd w:val="clear" w:color="auto" w:fill="FFFFFF"/>
              </w:rPr>
              <w:t>Käyttäjäoikeudet ovat ajantasaiset.</w:t>
            </w:r>
          </w:p>
          <w:p w14:paraId="7F34379B" w14:textId="77777777" w:rsidR="009F0996" w:rsidRPr="009F0996" w:rsidRDefault="009F0996" w:rsidP="009F0996">
            <w:pPr>
              <w:spacing w:line="256" w:lineRule="auto"/>
              <w:rPr>
                <w:rFonts w:cs="Arial"/>
                <w:color w:val="444444"/>
                <w:sz w:val="23"/>
                <w:szCs w:val="23"/>
                <w:shd w:val="clear" w:color="auto" w:fill="FFFFFF"/>
              </w:rPr>
            </w:pPr>
            <w:r w:rsidRPr="009F0996">
              <w:rPr>
                <w:rFonts w:cs="Arial"/>
                <w:color w:val="444444"/>
                <w:sz w:val="23"/>
                <w:szCs w:val="23"/>
                <w:shd w:val="clear" w:color="auto" w:fill="FFFFFF"/>
              </w:rPr>
              <w:t>Olennaisten tietojärjestelmien vikasietoisuus ja toiminnallinen käytettävyys varmistetaan säännöllisesti.</w:t>
            </w:r>
          </w:p>
          <w:p w14:paraId="1146240E" w14:textId="77777777" w:rsidR="009F0996" w:rsidRPr="009F0996" w:rsidRDefault="009F0996" w:rsidP="009F0996">
            <w:pPr>
              <w:spacing w:line="256" w:lineRule="auto"/>
            </w:pPr>
          </w:p>
        </w:tc>
        <w:tc>
          <w:tcPr>
            <w:tcW w:w="2551" w:type="dxa"/>
          </w:tcPr>
          <w:p w14:paraId="4AE1F28B" w14:textId="77777777" w:rsidR="009F0996" w:rsidRPr="009F0996" w:rsidRDefault="009F0996" w:rsidP="009F0996">
            <w:pPr>
              <w:spacing w:line="256" w:lineRule="auto"/>
            </w:pPr>
            <w:r w:rsidRPr="009F0996">
              <w:t>Käyttöoikeusrekisteri ja sen päivittäminen.</w:t>
            </w:r>
          </w:p>
          <w:p w14:paraId="5922A6F2" w14:textId="77777777" w:rsidR="009F0996" w:rsidRPr="009F0996" w:rsidRDefault="009F0996" w:rsidP="009F0996">
            <w:pPr>
              <w:spacing w:line="256" w:lineRule="auto"/>
            </w:pPr>
            <w:r w:rsidRPr="009F0996">
              <w:t>Tietojärjestelmien toiminnallisuuden tarkistaminen.</w:t>
            </w:r>
          </w:p>
        </w:tc>
        <w:tc>
          <w:tcPr>
            <w:tcW w:w="1996" w:type="dxa"/>
          </w:tcPr>
          <w:p w14:paraId="216B73B3" w14:textId="77777777" w:rsidR="009F0996" w:rsidRPr="009F0996" w:rsidRDefault="009F0996" w:rsidP="009F0996">
            <w:pPr>
              <w:keepNext/>
              <w:spacing w:line="256" w:lineRule="auto"/>
            </w:pPr>
            <w:r w:rsidRPr="009F0996">
              <w:t>2023</w:t>
            </w:r>
          </w:p>
        </w:tc>
      </w:tr>
    </w:tbl>
    <w:p w14:paraId="34E07CD2" w14:textId="77777777" w:rsidR="009F0996" w:rsidRPr="009F0996" w:rsidRDefault="009F0996" w:rsidP="009F0996">
      <w:pPr>
        <w:spacing w:after="200" w:line="240" w:lineRule="auto"/>
        <w:rPr>
          <w:i/>
          <w:iCs/>
          <w:color w:val="44546A" w:themeColor="text2"/>
          <w:sz w:val="18"/>
          <w:szCs w:val="18"/>
        </w:rPr>
      </w:pPr>
      <w:r w:rsidRPr="009F0996">
        <w:rPr>
          <w:i/>
          <w:iCs/>
          <w:color w:val="44546A" w:themeColor="text2"/>
          <w:sz w:val="18"/>
          <w:szCs w:val="18"/>
        </w:rPr>
        <w:t xml:space="preserve">Kuva </w:t>
      </w:r>
      <w:r w:rsidRPr="009F0996">
        <w:rPr>
          <w:i/>
          <w:iCs/>
          <w:color w:val="44546A" w:themeColor="text2"/>
          <w:sz w:val="18"/>
          <w:szCs w:val="18"/>
        </w:rPr>
        <w:fldChar w:fldCharType="begin"/>
      </w:r>
      <w:r w:rsidRPr="009F0996">
        <w:rPr>
          <w:i/>
          <w:iCs/>
          <w:color w:val="44546A" w:themeColor="text2"/>
          <w:sz w:val="18"/>
          <w:szCs w:val="18"/>
        </w:rPr>
        <w:instrText xml:space="preserve"> SEQ Kuva \* ARABIC </w:instrText>
      </w:r>
      <w:r w:rsidRPr="009F0996">
        <w:rPr>
          <w:i/>
          <w:iCs/>
          <w:color w:val="44546A" w:themeColor="text2"/>
          <w:sz w:val="18"/>
          <w:szCs w:val="18"/>
        </w:rPr>
        <w:fldChar w:fldCharType="separate"/>
      </w:r>
      <w:r w:rsidRPr="009F0996">
        <w:rPr>
          <w:i/>
          <w:iCs/>
          <w:noProof/>
          <w:color w:val="44546A" w:themeColor="text2"/>
          <w:sz w:val="18"/>
          <w:szCs w:val="18"/>
        </w:rPr>
        <w:t>11</w:t>
      </w:r>
      <w:r w:rsidRPr="009F0996">
        <w:rPr>
          <w:i/>
          <w:iCs/>
          <w:noProof/>
          <w:color w:val="44546A" w:themeColor="text2"/>
          <w:sz w:val="18"/>
          <w:szCs w:val="18"/>
        </w:rPr>
        <w:fldChar w:fldCharType="end"/>
      </w:r>
      <w:r w:rsidRPr="009F0996">
        <w:rPr>
          <w:i/>
          <w:iCs/>
          <w:color w:val="44546A" w:themeColor="text2"/>
          <w:sz w:val="18"/>
          <w:szCs w:val="18"/>
        </w:rPr>
        <w:t xml:space="preserve"> Tiedonhallintalain tavoitteet yleishallinnolle vuosille </w:t>
      </w:r>
      <w:proofErr w:type="gramStart"/>
      <w:r w:rsidRPr="009F0996">
        <w:rPr>
          <w:i/>
          <w:iCs/>
          <w:color w:val="44546A" w:themeColor="text2"/>
          <w:sz w:val="18"/>
          <w:szCs w:val="18"/>
        </w:rPr>
        <w:t>2021-2023</w:t>
      </w:r>
      <w:proofErr w:type="gramEnd"/>
    </w:p>
    <w:p w14:paraId="232153DD" w14:textId="77777777" w:rsidR="009F0996" w:rsidRPr="009F0996" w:rsidRDefault="009F0996" w:rsidP="009F0996">
      <w:pPr>
        <w:spacing w:line="256" w:lineRule="auto"/>
      </w:pPr>
    </w:p>
    <w:p w14:paraId="509B1B61" w14:textId="77777777" w:rsidR="009F0996" w:rsidRPr="009F0996" w:rsidRDefault="009F0996" w:rsidP="009F0996">
      <w:pPr>
        <w:spacing w:line="256" w:lineRule="auto"/>
      </w:pPr>
      <w:r w:rsidRPr="009F0996">
        <w:t>Tiedonhallinnan tavoitteisiin pääsemiseksi talousarvion investointiosaan on varattu vuodelle 2022 määräraha uuden asianhallintaohjelmiston hankintaan. Vuoden 2021 aikana arkistoon hankitaan asiakirjojen hävittämisastia (240 litraa), jonka kustannus on vuositasolla 420 €. Arvio perustuu tyhjennyskerran hintaan (70 € + alv) ja tyhjennyskertojen määrään (6).</w:t>
      </w:r>
    </w:p>
    <w:p w14:paraId="697626C3" w14:textId="77777777" w:rsidR="009F0996" w:rsidRPr="009F0996" w:rsidRDefault="009F0996" w:rsidP="009F0996">
      <w:pPr>
        <w:spacing w:line="256" w:lineRule="auto"/>
      </w:pPr>
      <w:r w:rsidRPr="009F0996">
        <w:t xml:space="preserve">Videoneuvotteluhuoneeseen hankitaan vanhan, toimimattoman videotykin tilalle seinään kiinnitettävä 65”-85” televisio. Television hankintahinnaksi on talousarvion laadinnan yhteydessä arvioitu 2500 euroa. </w:t>
      </w:r>
    </w:p>
    <w:p w14:paraId="74B9EE76" w14:textId="77777777" w:rsidR="009F0996" w:rsidRPr="009F0996" w:rsidRDefault="009F0996" w:rsidP="009F0996">
      <w:pPr>
        <w:spacing w:line="256" w:lineRule="auto"/>
      </w:pPr>
    </w:p>
    <w:p w14:paraId="1BFE2D17" w14:textId="77777777" w:rsidR="009F0996" w:rsidRPr="009F0996" w:rsidRDefault="009F0996" w:rsidP="009F0996">
      <w:pPr>
        <w:keepNext/>
        <w:keepLines/>
        <w:spacing w:before="40" w:after="0" w:line="360" w:lineRule="auto"/>
        <w:outlineLvl w:val="3"/>
        <w:rPr>
          <w:rFonts w:eastAsiaTheme="majorEastAsia" w:cstheme="majorBidi"/>
          <w:b/>
          <w:iCs/>
          <w:color w:val="000000" w:themeColor="text1"/>
          <w:sz w:val="20"/>
        </w:rPr>
      </w:pPr>
      <w:bookmarkStart w:id="2" w:name="_Toc58245166"/>
      <w:r w:rsidRPr="009F0996">
        <w:rPr>
          <w:rFonts w:eastAsiaTheme="majorEastAsia" w:cstheme="majorBidi"/>
          <w:b/>
          <w:iCs/>
          <w:color w:val="000000" w:themeColor="text1"/>
          <w:sz w:val="20"/>
        </w:rPr>
        <w:t>Yleishallinnon tuloarviot ja määrärahat</w:t>
      </w:r>
      <w:bookmarkEnd w:id="2"/>
    </w:p>
    <w:tbl>
      <w:tblPr>
        <w:tblStyle w:val="TaulukkoRuudukko"/>
        <w:tblW w:w="0" w:type="auto"/>
        <w:tblLook w:val="04A0" w:firstRow="1" w:lastRow="0" w:firstColumn="1" w:lastColumn="0" w:noHBand="0" w:noVBand="1"/>
      </w:tblPr>
      <w:tblGrid>
        <w:gridCol w:w="2170"/>
        <w:gridCol w:w="1374"/>
        <w:gridCol w:w="1543"/>
        <w:gridCol w:w="1543"/>
        <w:gridCol w:w="1543"/>
        <w:gridCol w:w="1323"/>
      </w:tblGrid>
      <w:tr w:rsidR="009F0996" w:rsidRPr="009F0996" w14:paraId="0E341407" w14:textId="77777777" w:rsidTr="00E92450">
        <w:trPr>
          <w:trHeight w:val="296"/>
        </w:trPr>
        <w:tc>
          <w:tcPr>
            <w:tcW w:w="2170" w:type="dxa"/>
          </w:tcPr>
          <w:p w14:paraId="01148787" w14:textId="77777777" w:rsidR="009F0996" w:rsidRPr="009F0996" w:rsidRDefault="009F0996" w:rsidP="009F0996">
            <w:pPr>
              <w:spacing w:line="256" w:lineRule="auto"/>
            </w:pPr>
            <w:bookmarkStart w:id="3" w:name="_Hlk57296327"/>
          </w:p>
        </w:tc>
        <w:tc>
          <w:tcPr>
            <w:tcW w:w="1374" w:type="dxa"/>
          </w:tcPr>
          <w:p w14:paraId="0B9FF40D" w14:textId="77777777" w:rsidR="009F0996" w:rsidRPr="009F0996" w:rsidRDefault="009F0996" w:rsidP="009F0996">
            <w:pPr>
              <w:spacing w:line="256" w:lineRule="auto"/>
              <w:rPr>
                <w:b/>
                <w:bCs/>
              </w:rPr>
            </w:pPr>
            <w:r w:rsidRPr="009F0996">
              <w:rPr>
                <w:b/>
                <w:bCs/>
              </w:rPr>
              <w:t>TP 2019</w:t>
            </w:r>
          </w:p>
        </w:tc>
        <w:tc>
          <w:tcPr>
            <w:tcW w:w="1543" w:type="dxa"/>
          </w:tcPr>
          <w:p w14:paraId="12625E6F" w14:textId="77777777" w:rsidR="009F0996" w:rsidRPr="009F0996" w:rsidRDefault="009F0996" w:rsidP="009F0996">
            <w:pPr>
              <w:spacing w:line="256" w:lineRule="auto"/>
              <w:rPr>
                <w:b/>
                <w:bCs/>
              </w:rPr>
            </w:pPr>
            <w:r w:rsidRPr="009F0996">
              <w:rPr>
                <w:b/>
                <w:bCs/>
              </w:rPr>
              <w:t>TA 2020</w:t>
            </w:r>
          </w:p>
        </w:tc>
        <w:tc>
          <w:tcPr>
            <w:tcW w:w="1543" w:type="dxa"/>
          </w:tcPr>
          <w:p w14:paraId="62CD80C8" w14:textId="77777777" w:rsidR="009F0996" w:rsidRPr="009F0996" w:rsidRDefault="009F0996" w:rsidP="009F0996">
            <w:pPr>
              <w:spacing w:line="256" w:lineRule="auto"/>
              <w:rPr>
                <w:b/>
                <w:bCs/>
              </w:rPr>
            </w:pPr>
            <w:r w:rsidRPr="009F0996">
              <w:rPr>
                <w:b/>
                <w:bCs/>
              </w:rPr>
              <w:t>TA 2021</w:t>
            </w:r>
          </w:p>
        </w:tc>
        <w:tc>
          <w:tcPr>
            <w:tcW w:w="1543" w:type="dxa"/>
          </w:tcPr>
          <w:p w14:paraId="00D2608C" w14:textId="77777777" w:rsidR="009F0996" w:rsidRPr="009F0996" w:rsidRDefault="009F0996" w:rsidP="009F0996">
            <w:pPr>
              <w:spacing w:line="256" w:lineRule="auto"/>
              <w:rPr>
                <w:b/>
                <w:bCs/>
              </w:rPr>
            </w:pPr>
            <w:r w:rsidRPr="009F0996">
              <w:rPr>
                <w:b/>
                <w:bCs/>
              </w:rPr>
              <w:t>TS 2022</w:t>
            </w:r>
          </w:p>
        </w:tc>
        <w:tc>
          <w:tcPr>
            <w:tcW w:w="1323" w:type="dxa"/>
          </w:tcPr>
          <w:p w14:paraId="21CE9B99" w14:textId="77777777" w:rsidR="009F0996" w:rsidRPr="009F0996" w:rsidRDefault="009F0996" w:rsidP="009F0996">
            <w:pPr>
              <w:spacing w:line="256" w:lineRule="auto"/>
              <w:rPr>
                <w:b/>
                <w:bCs/>
              </w:rPr>
            </w:pPr>
            <w:r w:rsidRPr="009F0996">
              <w:rPr>
                <w:b/>
                <w:bCs/>
              </w:rPr>
              <w:t>TS2023</w:t>
            </w:r>
          </w:p>
        </w:tc>
      </w:tr>
      <w:tr w:rsidR="009F0996" w:rsidRPr="009F0996" w14:paraId="2D4823A4" w14:textId="77777777" w:rsidTr="00E92450">
        <w:trPr>
          <w:trHeight w:val="310"/>
        </w:trPr>
        <w:tc>
          <w:tcPr>
            <w:tcW w:w="2170" w:type="dxa"/>
          </w:tcPr>
          <w:p w14:paraId="7EF10E8B" w14:textId="77777777" w:rsidR="009F0996" w:rsidRPr="009F0996" w:rsidRDefault="009F0996" w:rsidP="009F0996">
            <w:pPr>
              <w:spacing w:line="256" w:lineRule="auto"/>
            </w:pPr>
            <w:r w:rsidRPr="009F0996">
              <w:t>Toimintatuotot</w:t>
            </w:r>
          </w:p>
        </w:tc>
        <w:tc>
          <w:tcPr>
            <w:tcW w:w="1374" w:type="dxa"/>
          </w:tcPr>
          <w:p w14:paraId="00C7E352" w14:textId="77777777" w:rsidR="009F0996" w:rsidRPr="009F0996" w:rsidRDefault="009F0996" w:rsidP="009F0996">
            <w:pPr>
              <w:spacing w:line="256" w:lineRule="auto"/>
            </w:pPr>
            <w:r w:rsidRPr="009F0996">
              <w:t>40970</w:t>
            </w:r>
          </w:p>
        </w:tc>
        <w:tc>
          <w:tcPr>
            <w:tcW w:w="1543" w:type="dxa"/>
          </w:tcPr>
          <w:p w14:paraId="0F68838E" w14:textId="77777777" w:rsidR="009F0996" w:rsidRPr="009F0996" w:rsidRDefault="009F0996" w:rsidP="009F0996">
            <w:pPr>
              <w:spacing w:line="256" w:lineRule="auto"/>
            </w:pPr>
            <w:r w:rsidRPr="009F0996">
              <w:t>40280</w:t>
            </w:r>
          </w:p>
        </w:tc>
        <w:tc>
          <w:tcPr>
            <w:tcW w:w="1543" w:type="dxa"/>
          </w:tcPr>
          <w:p w14:paraId="378B8BFF" w14:textId="77777777" w:rsidR="009F0996" w:rsidRPr="009F0996" w:rsidRDefault="009F0996" w:rsidP="009F0996">
            <w:pPr>
              <w:spacing w:line="256" w:lineRule="auto"/>
            </w:pPr>
            <w:r w:rsidRPr="009F0996">
              <w:t>25800</w:t>
            </w:r>
          </w:p>
        </w:tc>
        <w:tc>
          <w:tcPr>
            <w:tcW w:w="1543" w:type="dxa"/>
          </w:tcPr>
          <w:p w14:paraId="7F867775" w14:textId="77777777" w:rsidR="009F0996" w:rsidRPr="009F0996" w:rsidRDefault="009F0996" w:rsidP="009F0996">
            <w:pPr>
              <w:spacing w:line="256" w:lineRule="auto"/>
            </w:pPr>
            <w:r w:rsidRPr="009F0996">
              <w:t>24800</w:t>
            </w:r>
          </w:p>
        </w:tc>
        <w:tc>
          <w:tcPr>
            <w:tcW w:w="1323" w:type="dxa"/>
          </w:tcPr>
          <w:p w14:paraId="64A1C67A" w14:textId="77777777" w:rsidR="009F0996" w:rsidRPr="009F0996" w:rsidRDefault="009F0996" w:rsidP="009F0996">
            <w:pPr>
              <w:spacing w:line="256" w:lineRule="auto"/>
            </w:pPr>
            <w:r w:rsidRPr="009F0996">
              <w:t>29600</w:t>
            </w:r>
          </w:p>
        </w:tc>
      </w:tr>
      <w:tr w:rsidR="009F0996" w:rsidRPr="009F0996" w14:paraId="2F41C7C7" w14:textId="77777777" w:rsidTr="00E92450">
        <w:trPr>
          <w:trHeight w:val="904"/>
        </w:trPr>
        <w:tc>
          <w:tcPr>
            <w:tcW w:w="2170" w:type="dxa"/>
          </w:tcPr>
          <w:p w14:paraId="438C24F1" w14:textId="77777777" w:rsidR="009F0996" w:rsidRPr="009F0996" w:rsidRDefault="009F0996" w:rsidP="009F0996">
            <w:pPr>
              <w:spacing w:line="256" w:lineRule="auto"/>
            </w:pPr>
            <w:r w:rsidRPr="009F0996">
              <w:t>Valmistus omaan käyttöön</w:t>
            </w:r>
          </w:p>
        </w:tc>
        <w:tc>
          <w:tcPr>
            <w:tcW w:w="1374" w:type="dxa"/>
          </w:tcPr>
          <w:p w14:paraId="72720DA3" w14:textId="77777777" w:rsidR="009F0996" w:rsidRPr="009F0996" w:rsidRDefault="009F0996" w:rsidP="009F0996">
            <w:pPr>
              <w:spacing w:line="256" w:lineRule="auto"/>
            </w:pPr>
          </w:p>
        </w:tc>
        <w:tc>
          <w:tcPr>
            <w:tcW w:w="1543" w:type="dxa"/>
          </w:tcPr>
          <w:p w14:paraId="1C82091F" w14:textId="77777777" w:rsidR="009F0996" w:rsidRPr="009F0996" w:rsidRDefault="009F0996" w:rsidP="009F0996">
            <w:pPr>
              <w:spacing w:line="256" w:lineRule="auto"/>
            </w:pPr>
          </w:p>
        </w:tc>
        <w:tc>
          <w:tcPr>
            <w:tcW w:w="1543" w:type="dxa"/>
          </w:tcPr>
          <w:p w14:paraId="43A4BB1C" w14:textId="77777777" w:rsidR="009F0996" w:rsidRPr="009F0996" w:rsidRDefault="009F0996" w:rsidP="009F0996">
            <w:pPr>
              <w:spacing w:line="256" w:lineRule="auto"/>
            </w:pPr>
          </w:p>
        </w:tc>
        <w:tc>
          <w:tcPr>
            <w:tcW w:w="1543" w:type="dxa"/>
          </w:tcPr>
          <w:p w14:paraId="21AAFAA3" w14:textId="77777777" w:rsidR="009F0996" w:rsidRPr="009F0996" w:rsidRDefault="009F0996" w:rsidP="009F0996">
            <w:pPr>
              <w:spacing w:line="256" w:lineRule="auto"/>
            </w:pPr>
          </w:p>
        </w:tc>
        <w:tc>
          <w:tcPr>
            <w:tcW w:w="1323" w:type="dxa"/>
          </w:tcPr>
          <w:p w14:paraId="375E1469" w14:textId="77777777" w:rsidR="009F0996" w:rsidRPr="009F0996" w:rsidRDefault="009F0996" w:rsidP="009F0996">
            <w:pPr>
              <w:spacing w:line="256" w:lineRule="auto"/>
            </w:pPr>
          </w:p>
        </w:tc>
      </w:tr>
      <w:tr w:rsidR="009F0996" w:rsidRPr="009F0996" w14:paraId="2A06FEF8" w14:textId="77777777" w:rsidTr="00E92450">
        <w:trPr>
          <w:trHeight w:val="296"/>
        </w:trPr>
        <w:tc>
          <w:tcPr>
            <w:tcW w:w="2170" w:type="dxa"/>
          </w:tcPr>
          <w:p w14:paraId="0999E9A6" w14:textId="77777777" w:rsidR="009F0996" w:rsidRPr="009F0996" w:rsidRDefault="009F0996" w:rsidP="009F0996">
            <w:pPr>
              <w:spacing w:line="256" w:lineRule="auto"/>
            </w:pPr>
            <w:r w:rsidRPr="009F0996">
              <w:t>Toimintamenot</w:t>
            </w:r>
          </w:p>
        </w:tc>
        <w:tc>
          <w:tcPr>
            <w:tcW w:w="1374" w:type="dxa"/>
          </w:tcPr>
          <w:p w14:paraId="70A53C4D" w14:textId="77777777" w:rsidR="009F0996" w:rsidRPr="009F0996" w:rsidRDefault="009F0996" w:rsidP="009F0996">
            <w:pPr>
              <w:spacing w:line="256" w:lineRule="auto"/>
            </w:pPr>
            <w:r w:rsidRPr="009F0996">
              <w:t>366602</w:t>
            </w:r>
          </w:p>
        </w:tc>
        <w:tc>
          <w:tcPr>
            <w:tcW w:w="1543" w:type="dxa"/>
          </w:tcPr>
          <w:p w14:paraId="0E073C41" w14:textId="77777777" w:rsidR="009F0996" w:rsidRPr="009F0996" w:rsidRDefault="009F0996" w:rsidP="009F0996">
            <w:pPr>
              <w:spacing w:line="256" w:lineRule="auto"/>
            </w:pPr>
            <w:r w:rsidRPr="009F0996">
              <w:t>383669</w:t>
            </w:r>
          </w:p>
        </w:tc>
        <w:tc>
          <w:tcPr>
            <w:tcW w:w="1543" w:type="dxa"/>
          </w:tcPr>
          <w:p w14:paraId="469F3AD7" w14:textId="77777777" w:rsidR="009F0996" w:rsidRPr="009F0996" w:rsidRDefault="009F0996" w:rsidP="009F0996">
            <w:pPr>
              <w:spacing w:line="256" w:lineRule="auto"/>
            </w:pPr>
            <w:r w:rsidRPr="009F0996">
              <w:t>416339</w:t>
            </w:r>
          </w:p>
        </w:tc>
        <w:tc>
          <w:tcPr>
            <w:tcW w:w="1543" w:type="dxa"/>
          </w:tcPr>
          <w:p w14:paraId="65A130E8" w14:textId="77777777" w:rsidR="009F0996" w:rsidRPr="009F0996" w:rsidRDefault="009F0996" w:rsidP="009F0996">
            <w:pPr>
              <w:spacing w:line="256" w:lineRule="auto"/>
            </w:pPr>
            <w:r w:rsidRPr="009F0996">
              <w:t>402952</w:t>
            </w:r>
          </w:p>
        </w:tc>
        <w:tc>
          <w:tcPr>
            <w:tcW w:w="1323" w:type="dxa"/>
          </w:tcPr>
          <w:p w14:paraId="73DE1636" w14:textId="77777777" w:rsidR="009F0996" w:rsidRPr="009F0996" w:rsidRDefault="009F0996" w:rsidP="009F0996">
            <w:pPr>
              <w:spacing w:line="256" w:lineRule="auto"/>
            </w:pPr>
            <w:r w:rsidRPr="009F0996">
              <w:t>410614</w:t>
            </w:r>
          </w:p>
        </w:tc>
      </w:tr>
      <w:tr w:rsidR="009F0996" w:rsidRPr="009F0996" w14:paraId="0FBD408C" w14:textId="77777777" w:rsidTr="00E92450">
        <w:trPr>
          <w:trHeight w:val="607"/>
        </w:trPr>
        <w:tc>
          <w:tcPr>
            <w:tcW w:w="2170" w:type="dxa"/>
          </w:tcPr>
          <w:p w14:paraId="6970328E" w14:textId="77777777" w:rsidR="009F0996" w:rsidRPr="009F0996" w:rsidRDefault="009F0996" w:rsidP="009F0996">
            <w:pPr>
              <w:spacing w:line="256" w:lineRule="auto"/>
              <w:rPr>
                <w:b/>
                <w:bCs/>
              </w:rPr>
            </w:pPr>
            <w:r w:rsidRPr="009F0996">
              <w:rPr>
                <w:b/>
                <w:bCs/>
              </w:rPr>
              <w:t>Toimintakate (netto)</w:t>
            </w:r>
          </w:p>
        </w:tc>
        <w:tc>
          <w:tcPr>
            <w:tcW w:w="1374" w:type="dxa"/>
          </w:tcPr>
          <w:p w14:paraId="10504FD9" w14:textId="77777777" w:rsidR="009F0996" w:rsidRPr="009F0996" w:rsidRDefault="009F0996" w:rsidP="009F0996">
            <w:pPr>
              <w:spacing w:line="256" w:lineRule="auto"/>
            </w:pPr>
            <w:r w:rsidRPr="009F0996">
              <w:t>-325632</w:t>
            </w:r>
          </w:p>
        </w:tc>
        <w:tc>
          <w:tcPr>
            <w:tcW w:w="1543" w:type="dxa"/>
          </w:tcPr>
          <w:p w14:paraId="7413FEA3" w14:textId="77777777" w:rsidR="009F0996" w:rsidRPr="009F0996" w:rsidRDefault="009F0996" w:rsidP="009F0996">
            <w:pPr>
              <w:spacing w:line="256" w:lineRule="auto"/>
            </w:pPr>
            <w:r w:rsidRPr="009F0996">
              <w:t>-383669</w:t>
            </w:r>
          </w:p>
        </w:tc>
        <w:tc>
          <w:tcPr>
            <w:tcW w:w="1543" w:type="dxa"/>
          </w:tcPr>
          <w:p w14:paraId="3E1CA601" w14:textId="77777777" w:rsidR="009F0996" w:rsidRPr="009F0996" w:rsidRDefault="009F0996" w:rsidP="009F0996">
            <w:pPr>
              <w:spacing w:line="256" w:lineRule="auto"/>
            </w:pPr>
            <w:r w:rsidRPr="009F0996">
              <w:t>-390539</w:t>
            </w:r>
          </w:p>
        </w:tc>
        <w:tc>
          <w:tcPr>
            <w:tcW w:w="1543" w:type="dxa"/>
          </w:tcPr>
          <w:p w14:paraId="6C1958B1" w14:textId="77777777" w:rsidR="009F0996" w:rsidRPr="009F0996" w:rsidRDefault="009F0996" w:rsidP="009F0996">
            <w:pPr>
              <w:spacing w:line="256" w:lineRule="auto"/>
            </w:pPr>
            <w:r w:rsidRPr="009F0996">
              <w:t>-378152</w:t>
            </w:r>
          </w:p>
        </w:tc>
        <w:tc>
          <w:tcPr>
            <w:tcW w:w="1323" w:type="dxa"/>
          </w:tcPr>
          <w:p w14:paraId="236C6075" w14:textId="77777777" w:rsidR="009F0996" w:rsidRPr="009F0996" w:rsidRDefault="009F0996" w:rsidP="009F0996">
            <w:pPr>
              <w:spacing w:line="256" w:lineRule="auto"/>
            </w:pPr>
            <w:r w:rsidRPr="009F0996">
              <w:t>-381014</w:t>
            </w:r>
          </w:p>
        </w:tc>
      </w:tr>
      <w:bookmarkEnd w:id="3"/>
    </w:tbl>
    <w:p w14:paraId="6A61FEBE" w14:textId="77777777" w:rsidR="009F0996" w:rsidRPr="009F0996" w:rsidRDefault="009F0996" w:rsidP="009F0996">
      <w:pPr>
        <w:spacing w:line="256" w:lineRule="auto"/>
        <w:rPr>
          <w:color w:val="FF0000"/>
        </w:rPr>
      </w:pPr>
    </w:p>
    <w:p w14:paraId="4C76AE97" w14:textId="77777777" w:rsidR="009F0996" w:rsidRPr="009F0996" w:rsidRDefault="009F0996" w:rsidP="009F0996">
      <w:pPr>
        <w:keepNext/>
        <w:keepLines/>
        <w:spacing w:before="40" w:after="0" w:line="360" w:lineRule="auto"/>
        <w:outlineLvl w:val="3"/>
        <w:rPr>
          <w:rFonts w:eastAsiaTheme="majorEastAsia" w:cstheme="majorBidi"/>
          <w:b/>
          <w:iCs/>
          <w:color w:val="000000" w:themeColor="text1"/>
          <w:sz w:val="20"/>
        </w:rPr>
      </w:pPr>
      <w:bookmarkStart w:id="4" w:name="_Toc58245167"/>
      <w:r w:rsidRPr="009F0996">
        <w:rPr>
          <w:rFonts w:eastAsiaTheme="majorEastAsia" w:cstheme="majorBidi"/>
          <w:b/>
          <w:iCs/>
          <w:color w:val="000000" w:themeColor="text1"/>
          <w:sz w:val="20"/>
        </w:rPr>
        <w:t>1100 Vaalit</w:t>
      </w:r>
      <w:bookmarkEnd w:id="4"/>
    </w:p>
    <w:p w14:paraId="0014C275" w14:textId="77777777" w:rsidR="009F0996" w:rsidRPr="009F0996" w:rsidRDefault="009F0996" w:rsidP="009F0996">
      <w:pPr>
        <w:spacing w:line="256" w:lineRule="auto"/>
      </w:pPr>
    </w:p>
    <w:p w14:paraId="3774AFB0" w14:textId="77777777" w:rsidR="009F0996" w:rsidRPr="009F0996" w:rsidRDefault="009F0996" w:rsidP="009F0996">
      <w:pPr>
        <w:spacing w:line="256" w:lineRule="auto"/>
      </w:pPr>
      <w:r w:rsidRPr="009F0996">
        <w:t xml:space="preserve">Vuonna 2021 järjestetään kuntavaalit ja vuonna 2023 eduskuntavaalit. </w:t>
      </w:r>
    </w:p>
    <w:p w14:paraId="1284BAB9" w14:textId="77777777" w:rsidR="009F0996" w:rsidRPr="009F0996" w:rsidRDefault="009F0996" w:rsidP="009F0996">
      <w:pPr>
        <w:keepNext/>
        <w:keepLines/>
        <w:spacing w:before="40" w:after="0" w:line="360" w:lineRule="auto"/>
        <w:outlineLvl w:val="3"/>
        <w:rPr>
          <w:rFonts w:eastAsiaTheme="majorEastAsia" w:cstheme="majorBidi"/>
          <w:b/>
          <w:iCs/>
          <w:color w:val="000000" w:themeColor="text1"/>
          <w:sz w:val="20"/>
        </w:rPr>
      </w:pPr>
      <w:bookmarkStart w:id="5" w:name="_Toc58245168"/>
      <w:r w:rsidRPr="009F0996">
        <w:rPr>
          <w:rFonts w:eastAsiaTheme="majorEastAsia" w:cstheme="majorBidi"/>
          <w:b/>
          <w:iCs/>
          <w:color w:val="000000" w:themeColor="text1"/>
          <w:sz w:val="20"/>
        </w:rPr>
        <w:t>Vaalien tuloarviot ja määrärahat</w:t>
      </w:r>
      <w:bookmarkEnd w:id="5"/>
    </w:p>
    <w:tbl>
      <w:tblPr>
        <w:tblStyle w:val="TaulukkoRuudukko"/>
        <w:tblW w:w="0" w:type="auto"/>
        <w:tblLook w:val="04A0" w:firstRow="1" w:lastRow="0" w:firstColumn="1" w:lastColumn="0" w:noHBand="0" w:noVBand="1"/>
      </w:tblPr>
      <w:tblGrid>
        <w:gridCol w:w="1980"/>
        <w:gridCol w:w="1333"/>
        <w:gridCol w:w="1644"/>
        <w:gridCol w:w="1559"/>
        <w:gridCol w:w="1525"/>
        <w:gridCol w:w="1587"/>
      </w:tblGrid>
      <w:tr w:rsidR="009F0996" w:rsidRPr="009F0996" w14:paraId="7388143E" w14:textId="77777777" w:rsidTr="00E92450">
        <w:tc>
          <w:tcPr>
            <w:tcW w:w="1980" w:type="dxa"/>
          </w:tcPr>
          <w:p w14:paraId="08FC0CC6" w14:textId="77777777" w:rsidR="009F0996" w:rsidRPr="009F0996" w:rsidRDefault="009F0996" w:rsidP="009F0996">
            <w:pPr>
              <w:spacing w:line="256" w:lineRule="auto"/>
            </w:pPr>
            <w:bookmarkStart w:id="6" w:name="_Hlk57296312"/>
          </w:p>
        </w:tc>
        <w:tc>
          <w:tcPr>
            <w:tcW w:w="1333" w:type="dxa"/>
          </w:tcPr>
          <w:p w14:paraId="4882B8EF" w14:textId="77777777" w:rsidR="009F0996" w:rsidRPr="009F0996" w:rsidRDefault="009F0996" w:rsidP="009F0996">
            <w:pPr>
              <w:spacing w:line="256" w:lineRule="auto"/>
              <w:rPr>
                <w:b/>
                <w:bCs/>
              </w:rPr>
            </w:pPr>
            <w:r w:rsidRPr="009F0996">
              <w:rPr>
                <w:b/>
                <w:bCs/>
              </w:rPr>
              <w:t>TP 2019</w:t>
            </w:r>
          </w:p>
        </w:tc>
        <w:tc>
          <w:tcPr>
            <w:tcW w:w="1644" w:type="dxa"/>
          </w:tcPr>
          <w:p w14:paraId="59FD7AB8" w14:textId="77777777" w:rsidR="009F0996" w:rsidRPr="009F0996" w:rsidRDefault="009F0996" w:rsidP="009F0996">
            <w:pPr>
              <w:spacing w:line="256" w:lineRule="auto"/>
              <w:rPr>
                <w:b/>
                <w:bCs/>
              </w:rPr>
            </w:pPr>
            <w:r w:rsidRPr="009F0996">
              <w:rPr>
                <w:b/>
                <w:bCs/>
              </w:rPr>
              <w:t>TA 2020</w:t>
            </w:r>
          </w:p>
        </w:tc>
        <w:tc>
          <w:tcPr>
            <w:tcW w:w="1559" w:type="dxa"/>
          </w:tcPr>
          <w:p w14:paraId="6C59D323" w14:textId="77777777" w:rsidR="009F0996" w:rsidRPr="009F0996" w:rsidRDefault="009F0996" w:rsidP="009F0996">
            <w:pPr>
              <w:spacing w:line="256" w:lineRule="auto"/>
              <w:rPr>
                <w:b/>
                <w:bCs/>
              </w:rPr>
            </w:pPr>
            <w:r w:rsidRPr="009F0996">
              <w:rPr>
                <w:b/>
                <w:bCs/>
              </w:rPr>
              <w:t>TA 2021</w:t>
            </w:r>
          </w:p>
        </w:tc>
        <w:tc>
          <w:tcPr>
            <w:tcW w:w="1525" w:type="dxa"/>
          </w:tcPr>
          <w:p w14:paraId="4D05CDF1" w14:textId="77777777" w:rsidR="009F0996" w:rsidRPr="009F0996" w:rsidRDefault="009F0996" w:rsidP="009F0996">
            <w:pPr>
              <w:spacing w:line="256" w:lineRule="auto"/>
              <w:rPr>
                <w:b/>
                <w:bCs/>
              </w:rPr>
            </w:pPr>
            <w:r w:rsidRPr="009F0996">
              <w:rPr>
                <w:b/>
                <w:bCs/>
              </w:rPr>
              <w:t>TS 2022</w:t>
            </w:r>
          </w:p>
        </w:tc>
        <w:tc>
          <w:tcPr>
            <w:tcW w:w="1587" w:type="dxa"/>
          </w:tcPr>
          <w:p w14:paraId="72BA6380" w14:textId="77777777" w:rsidR="009F0996" w:rsidRPr="009F0996" w:rsidRDefault="009F0996" w:rsidP="009F0996">
            <w:pPr>
              <w:spacing w:line="256" w:lineRule="auto"/>
              <w:rPr>
                <w:b/>
                <w:bCs/>
              </w:rPr>
            </w:pPr>
            <w:r w:rsidRPr="009F0996">
              <w:rPr>
                <w:b/>
                <w:bCs/>
              </w:rPr>
              <w:t>TS2023</w:t>
            </w:r>
          </w:p>
        </w:tc>
      </w:tr>
      <w:tr w:rsidR="009F0996" w:rsidRPr="009F0996" w14:paraId="7309314D" w14:textId="77777777" w:rsidTr="00E92450">
        <w:tc>
          <w:tcPr>
            <w:tcW w:w="1980" w:type="dxa"/>
          </w:tcPr>
          <w:p w14:paraId="467D7A58" w14:textId="77777777" w:rsidR="009F0996" w:rsidRPr="009F0996" w:rsidRDefault="009F0996" w:rsidP="009F0996">
            <w:pPr>
              <w:spacing w:line="256" w:lineRule="auto"/>
            </w:pPr>
            <w:r w:rsidRPr="009F0996">
              <w:t>Toimintatuotot</w:t>
            </w:r>
          </w:p>
        </w:tc>
        <w:tc>
          <w:tcPr>
            <w:tcW w:w="1333" w:type="dxa"/>
          </w:tcPr>
          <w:p w14:paraId="56CB6A7E" w14:textId="77777777" w:rsidR="009F0996" w:rsidRPr="009F0996" w:rsidRDefault="009F0996" w:rsidP="009F0996">
            <w:pPr>
              <w:spacing w:line="256" w:lineRule="auto"/>
            </w:pPr>
            <w:r w:rsidRPr="009F0996">
              <w:t>4800,00</w:t>
            </w:r>
          </w:p>
        </w:tc>
        <w:tc>
          <w:tcPr>
            <w:tcW w:w="1644" w:type="dxa"/>
          </w:tcPr>
          <w:p w14:paraId="54C14C86" w14:textId="77777777" w:rsidR="009F0996" w:rsidRPr="009F0996" w:rsidRDefault="009F0996" w:rsidP="009F0996">
            <w:pPr>
              <w:spacing w:line="256" w:lineRule="auto"/>
            </w:pPr>
          </w:p>
        </w:tc>
        <w:tc>
          <w:tcPr>
            <w:tcW w:w="1559" w:type="dxa"/>
          </w:tcPr>
          <w:p w14:paraId="16A187F9" w14:textId="77777777" w:rsidR="009F0996" w:rsidRPr="009F0996" w:rsidRDefault="009F0996" w:rsidP="009F0996">
            <w:pPr>
              <w:spacing w:line="256" w:lineRule="auto"/>
            </w:pPr>
          </w:p>
        </w:tc>
        <w:tc>
          <w:tcPr>
            <w:tcW w:w="1525" w:type="dxa"/>
          </w:tcPr>
          <w:p w14:paraId="4DEA2663" w14:textId="77777777" w:rsidR="009F0996" w:rsidRPr="009F0996" w:rsidRDefault="009F0996" w:rsidP="009F0996">
            <w:pPr>
              <w:spacing w:line="256" w:lineRule="auto"/>
            </w:pPr>
          </w:p>
        </w:tc>
        <w:tc>
          <w:tcPr>
            <w:tcW w:w="1587" w:type="dxa"/>
          </w:tcPr>
          <w:p w14:paraId="2ACF7005" w14:textId="77777777" w:rsidR="009F0996" w:rsidRPr="009F0996" w:rsidRDefault="009F0996" w:rsidP="009F0996">
            <w:pPr>
              <w:spacing w:line="256" w:lineRule="auto"/>
            </w:pPr>
            <w:r w:rsidRPr="009F0996">
              <w:t>4800,00</w:t>
            </w:r>
          </w:p>
        </w:tc>
      </w:tr>
      <w:tr w:rsidR="009F0996" w:rsidRPr="009F0996" w14:paraId="60EDCB16" w14:textId="77777777" w:rsidTr="00E92450">
        <w:tc>
          <w:tcPr>
            <w:tcW w:w="1980" w:type="dxa"/>
          </w:tcPr>
          <w:p w14:paraId="42B54DBC" w14:textId="77777777" w:rsidR="009F0996" w:rsidRPr="009F0996" w:rsidRDefault="009F0996" w:rsidP="009F0996">
            <w:pPr>
              <w:spacing w:line="256" w:lineRule="auto"/>
            </w:pPr>
            <w:r w:rsidRPr="009F0996">
              <w:t>Valmistus omaan käyttöön</w:t>
            </w:r>
          </w:p>
        </w:tc>
        <w:tc>
          <w:tcPr>
            <w:tcW w:w="1333" w:type="dxa"/>
          </w:tcPr>
          <w:p w14:paraId="4073FB64" w14:textId="77777777" w:rsidR="009F0996" w:rsidRPr="009F0996" w:rsidRDefault="009F0996" w:rsidP="009F0996">
            <w:pPr>
              <w:spacing w:line="256" w:lineRule="auto"/>
            </w:pPr>
          </w:p>
        </w:tc>
        <w:tc>
          <w:tcPr>
            <w:tcW w:w="1644" w:type="dxa"/>
          </w:tcPr>
          <w:p w14:paraId="3C7FF9DB" w14:textId="77777777" w:rsidR="009F0996" w:rsidRPr="009F0996" w:rsidRDefault="009F0996" w:rsidP="009F0996">
            <w:pPr>
              <w:spacing w:line="256" w:lineRule="auto"/>
            </w:pPr>
          </w:p>
        </w:tc>
        <w:tc>
          <w:tcPr>
            <w:tcW w:w="1559" w:type="dxa"/>
          </w:tcPr>
          <w:p w14:paraId="14A107D3" w14:textId="77777777" w:rsidR="009F0996" w:rsidRPr="009F0996" w:rsidRDefault="009F0996" w:rsidP="009F0996">
            <w:pPr>
              <w:spacing w:line="256" w:lineRule="auto"/>
            </w:pPr>
          </w:p>
        </w:tc>
        <w:tc>
          <w:tcPr>
            <w:tcW w:w="1525" w:type="dxa"/>
          </w:tcPr>
          <w:p w14:paraId="00B5E526" w14:textId="77777777" w:rsidR="009F0996" w:rsidRPr="009F0996" w:rsidRDefault="009F0996" w:rsidP="009F0996">
            <w:pPr>
              <w:spacing w:line="256" w:lineRule="auto"/>
            </w:pPr>
          </w:p>
        </w:tc>
        <w:tc>
          <w:tcPr>
            <w:tcW w:w="1587" w:type="dxa"/>
          </w:tcPr>
          <w:p w14:paraId="5D249ED2" w14:textId="77777777" w:rsidR="009F0996" w:rsidRPr="009F0996" w:rsidRDefault="009F0996" w:rsidP="009F0996">
            <w:pPr>
              <w:spacing w:line="256" w:lineRule="auto"/>
            </w:pPr>
          </w:p>
        </w:tc>
      </w:tr>
      <w:tr w:rsidR="009F0996" w:rsidRPr="009F0996" w14:paraId="35863E96" w14:textId="77777777" w:rsidTr="00E92450">
        <w:tc>
          <w:tcPr>
            <w:tcW w:w="1980" w:type="dxa"/>
          </w:tcPr>
          <w:p w14:paraId="1D94E668" w14:textId="77777777" w:rsidR="009F0996" w:rsidRPr="009F0996" w:rsidRDefault="009F0996" w:rsidP="009F0996">
            <w:pPr>
              <w:spacing w:line="256" w:lineRule="auto"/>
            </w:pPr>
            <w:r w:rsidRPr="009F0996">
              <w:t>Toimintamenot</w:t>
            </w:r>
          </w:p>
        </w:tc>
        <w:tc>
          <w:tcPr>
            <w:tcW w:w="1333" w:type="dxa"/>
          </w:tcPr>
          <w:p w14:paraId="7457EE55" w14:textId="77777777" w:rsidR="009F0996" w:rsidRPr="009F0996" w:rsidRDefault="009F0996" w:rsidP="009F0996">
            <w:pPr>
              <w:spacing w:line="256" w:lineRule="auto"/>
            </w:pPr>
            <w:r w:rsidRPr="009F0996">
              <w:t>3595,00</w:t>
            </w:r>
          </w:p>
        </w:tc>
        <w:tc>
          <w:tcPr>
            <w:tcW w:w="1644" w:type="dxa"/>
          </w:tcPr>
          <w:p w14:paraId="6C5F28D0" w14:textId="77777777" w:rsidR="009F0996" w:rsidRPr="009F0996" w:rsidRDefault="009F0996" w:rsidP="009F0996">
            <w:pPr>
              <w:spacing w:line="256" w:lineRule="auto"/>
            </w:pPr>
          </w:p>
        </w:tc>
        <w:tc>
          <w:tcPr>
            <w:tcW w:w="1559" w:type="dxa"/>
          </w:tcPr>
          <w:p w14:paraId="19ADB02C" w14:textId="77777777" w:rsidR="009F0996" w:rsidRPr="009F0996" w:rsidRDefault="009F0996" w:rsidP="009F0996">
            <w:pPr>
              <w:spacing w:line="256" w:lineRule="auto"/>
            </w:pPr>
            <w:r w:rsidRPr="009F0996">
              <w:t>2172,00</w:t>
            </w:r>
          </w:p>
        </w:tc>
        <w:tc>
          <w:tcPr>
            <w:tcW w:w="1525" w:type="dxa"/>
          </w:tcPr>
          <w:p w14:paraId="374C3E29" w14:textId="77777777" w:rsidR="009F0996" w:rsidRPr="009F0996" w:rsidRDefault="009F0996" w:rsidP="009F0996">
            <w:pPr>
              <w:spacing w:line="256" w:lineRule="auto"/>
            </w:pPr>
          </w:p>
        </w:tc>
        <w:tc>
          <w:tcPr>
            <w:tcW w:w="1587" w:type="dxa"/>
          </w:tcPr>
          <w:p w14:paraId="02F96AE3" w14:textId="77777777" w:rsidR="009F0996" w:rsidRPr="009F0996" w:rsidRDefault="009F0996" w:rsidP="009F0996">
            <w:pPr>
              <w:spacing w:line="256" w:lineRule="auto"/>
            </w:pPr>
            <w:r w:rsidRPr="009F0996">
              <w:t>-2462,00</w:t>
            </w:r>
          </w:p>
        </w:tc>
      </w:tr>
      <w:tr w:rsidR="009F0996" w:rsidRPr="009F0996" w14:paraId="4906F94B" w14:textId="77777777" w:rsidTr="00E92450">
        <w:tc>
          <w:tcPr>
            <w:tcW w:w="1980" w:type="dxa"/>
          </w:tcPr>
          <w:p w14:paraId="7A1BDC34" w14:textId="77777777" w:rsidR="009F0996" w:rsidRPr="009F0996" w:rsidRDefault="009F0996" w:rsidP="009F0996">
            <w:pPr>
              <w:spacing w:line="256" w:lineRule="auto"/>
              <w:rPr>
                <w:b/>
                <w:bCs/>
              </w:rPr>
            </w:pPr>
            <w:r w:rsidRPr="009F0996">
              <w:rPr>
                <w:b/>
                <w:bCs/>
              </w:rPr>
              <w:t>Toimintakate (netto)</w:t>
            </w:r>
          </w:p>
        </w:tc>
        <w:tc>
          <w:tcPr>
            <w:tcW w:w="1333" w:type="dxa"/>
          </w:tcPr>
          <w:p w14:paraId="19DBB453" w14:textId="77777777" w:rsidR="009F0996" w:rsidRPr="009F0996" w:rsidRDefault="009F0996" w:rsidP="009F0996">
            <w:pPr>
              <w:spacing w:line="256" w:lineRule="auto"/>
            </w:pPr>
            <w:r w:rsidRPr="009F0996">
              <w:t>1205,00</w:t>
            </w:r>
          </w:p>
        </w:tc>
        <w:tc>
          <w:tcPr>
            <w:tcW w:w="1644" w:type="dxa"/>
          </w:tcPr>
          <w:p w14:paraId="1CA18A54" w14:textId="77777777" w:rsidR="009F0996" w:rsidRPr="009F0996" w:rsidRDefault="009F0996" w:rsidP="009F0996">
            <w:pPr>
              <w:spacing w:line="256" w:lineRule="auto"/>
            </w:pPr>
          </w:p>
        </w:tc>
        <w:tc>
          <w:tcPr>
            <w:tcW w:w="1559" w:type="dxa"/>
          </w:tcPr>
          <w:p w14:paraId="7C447880" w14:textId="77777777" w:rsidR="009F0996" w:rsidRPr="009F0996" w:rsidRDefault="009F0996" w:rsidP="009F0996">
            <w:pPr>
              <w:spacing w:line="256" w:lineRule="auto"/>
            </w:pPr>
            <w:r w:rsidRPr="009F0996">
              <w:t>-2172,00</w:t>
            </w:r>
          </w:p>
        </w:tc>
        <w:tc>
          <w:tcPr>
            <w:tcW w:w="1525" w:type="dxa"/>
          </w:tcPr>
          <w:p w14:paraId="69CFCB58" w14:textId="77777777" w:rsidR="009F0996" w:rsidRPr="009F0996" w:rsidRDefault="009F0996" w:rsidP="009F0996">
            <w:pPr>
              <w:spacing w:line="256" w:lineRule="auto"/>
            </w:pPr>
          </w:p>
        </w:tc>
        <w:tc>
          <w:tcPr>
            <w:tcW w:w="1587" w:type="dxa"/>
          </w:tcPr>
          <w:p w14:paraId="63B8F11E" w14:textId="77777777" w:rsidR="009F0996" w:rsidRPr="009F0996" w:rsidRDefault="009F0996" w:rsidP="009F0996">
            <w:pPr>
              <w:spacing w:line="256" w:lineRule="auto"/>
            </w:pPr>
            <w:r w:rsidRPr="009F0996">
              <w:t>2338,00</w:t>
            </w:r>
          </w:p>
        </w:tc>
      </w:tr>
    </w:tbl>
    <w:p w14:paraId="51C587C3" w14:textId="77777777" w:rsidR="00913DF6" w:rsidRPr="00E032DC" w:rsidRDefault="00913DF6" w:rsidP="00913DF6">
      <w:pPr>
        <w:keepNext/>
        <w:keepLines/>
        <w:spacing w:before="240" w:after="0"/>
        <w:outlineLvl w:val="0"/>
        <w:rPr>
          <w:rFonts w:asciiTheme="majorHAnsi" w:eastAsiaTheme="majorEastAsia" w:hAnsiTheme="majorHAnsi" w:cstheme="majorBidi"/>
          <w:color w:val="000000" w:themeColor="text1"/>
          <w:sz w:val="32"/>
          <w:szCs w:val="32"/>
        </w:rPr>
      </w:pPr>
      <w:bookmarkStart w:id="7" w:name="_Toc58245212"/>
      <w:bookmarkStart w:id="8" w:name="_Hlk57708469"/>
      <w:bookmarkEnd w:id="6"/>
      <w:r w:rsidRPr="00E032DC">
        <w:rPr>
          <w:rFonts w:asciiTheme="majorHAnsi" w:eastAsiaTheme="majorEastAsia" w:hAnsiTheme="majorHAnsi" w:cstheme="majorBidi"/>
          <w:color w:val="000000" w:themeColor="text1"/>
          <w:sz w:val="32"/>
          <w:szCs w:val="32"/>
        </w:rPr>
        <w:lastRenderedPageBreak/>
        <w:t>Investointiosa</w:t>
      </w:r>
      <w:bookmarkEnd w:id="7"/>
    </w:p>
    <w:p w14:paraId="21F6179D" w14:textId="77777777" w:rsidR="00913DF6" w:rsidRPr="00E032DC" w:rsidRDefault="00913DF6" w:rsidP="00913DF6">
      <w:pPr>
        <w:spacing w:line="256" w:lineRule="auto"/>
      </w:pPr>
    </w:p>
    <w:p w14:paraId="78F4985B" w14:textId="77777777" w:rsidR="00913DF6" w:rsidRPr="00E032DC" w:rsidRDefault="00913DF6" w:rsidP="00913DF6">
      <w:pPr>
        <w:spacing w:line="256" w:lineRule="auto"/>
      </w:pPr>
      <w:r w:rsidRPr="00E032DC">
        <w:t>Investointiosassa esitetään käyttöomaisuuden hankinnat ja niihin saatavat rahoitusosuudet ja muut tulot sekä omaisuuden myynnit. Investoinneista esitetään mahdollinen kokonaiskustannusarvio ja tarvittava määräraha talousarviovuonna sekä suunnitteluvuosien arvioitu käyttötarve. Jos hankkeen toteutuminen viivästyy arvioidusta aikataulusta, jaksotetaan investoinnin määrärahatarve uudelleen suunnitteluvuosille. Tuleviin investointeihin voidaan varautua tekemällä investointivaraus.</w:t>
      </w:r>
    </w:p>
    <w:p w14:paraId="5A85CF59" w14:textId="77777777" w:rsidR="00913DF6" w:rsidRPr="00E032DC" w:rsidRDefault="00913DF6" w:rsidP="00913DF6">
      <w:pPr>
        <w:spacing w:line="256" w:lineRule="auto"/>
      </w:pPr>
      <w:r w:rsidRPr="00E032DC">
        <w:t>Investointiosan sitovia määrärahoja ovat hankkeeseen tai hankeryhmään myönnetyt nettomäärärahat. Teknisen lautakunnan investointien työohjelmista päättää tekninen lautakunta.</w:t>
      </w:r>
    </w:p>
    <w:p w14:paraId="5A705F93" w14:textId="77777777" w:rsidR="00913DF6" w:rsidRPr="00E032DC" w:rsidRDefault="00913DF6" w:rsidP="00913DF6">
      <w:pPr>
        <w:spacing w:line="256" w:lineRule="auto"/>
      </w:pPr>
      <w:r w:rsidRPr="00E032DC">
        <w:t xml:space="preserve">Lestijärven kunnan investoinnit investointisuunnitelman mukaan ovat suunnittelukaudella 2021–2023 yhteensä 2 242 100 euroa. Investointimenot jakautuvat siten, että vuonna 2021 investoidaan 1 943 500 eurolla, 2022 vuonna 256 800 eurolla ja 2023 vuonna 41 800 eurolla. </w:t>
      </w:r>
    </w:p>
    <w:p w14:paraId="240F66DE" w14:textId="77777777" w:rsidR="00913DF6" w:rsidRPr="00E032DC" w:rsidRDefault="00913DF6" w:rsidP="00913DF6">
      <w:pPr>
        <w:spacing w:line="256" w:lineRule="auto"/>
      </w:pPr>
      <w:r w:rsidRPr="00E032DC">
        <w:t>Koska nykyinen verorahoitustaso ei tuota riittävää vuosikatetta suunniteltujen nettoinvestointien rahoittamiseen, on vuodelle 2021 otettava lisää lainaa kunnan investointeja varten.</w:t>
      </w:r>
    </w:p>
    <w:bookmarkEnd w:id="8"/>
    <w:tbl>
      <w:tblPr>
        <w:tblW w:w="8340" w:type="dxa"/>
        <w:tblCellMar>
          <w:left w:w="70" w:type="dxa"/>
          <w:right w:w="70" w:type="dxa"/>
        </w:tblCellMar>
        <w:tblLook w:val="04A0" w:firstRow="1" w:lastRow="0" w:firstColumn="1" w:lastColumn="0" w:noHBand="0" w:noVBand="1"/>
      </w:tblPr>
      <w:tblGrid>
        <w:gridCol w:w="1600"/>
        <w:gridCol w:w="780"/>
        <w:gridCol w:w="2380"/>
        <w:gridCol w:w="1360"/>
        <w:gridCol w:w="1260"/>
        <w:gridCol w:w="960"/>
      </w:tblGrid>
      <w:tr w:rsidR="00913DF6" w:rsidRPr="00E032DC" w14:paraId="5F472CCC" w14:textId="77777777" w:rsidTr="00521220">
        <w:trPr>
          <w:trHeight w:val="288"/>
        </w:trPr>
        <w:tc>
          <w:tcPr>
            <w:tcW w:w="1600" w:type="dxa"/>
            <w:tcBorders>
              <w:top w:val="nil"/>
              <w:left w:val="nil"/>
              <w:bottom w:val="nil"/>
              <w:right w:val="nil"/>
            </w:tcBorders>
            <w:shd w:val="clear" w:color="auto" w:fill="auto"/>
            <w:noWrap/>
            <w:vAlign w:val="bottom"/>
            <w:hideMark/>
          </w:tcPr>
          <w:p w14:paraId="7DEA0BAA" w14:textId="77777777" w:rsidR="00913DF6" w:rsidRPr="00E032DC" w:rsidRDefault="00913DF6" w:rsidP="00521220">
            <w:pPr>
              <w:spacing w:after="0" w:line="240" w:lineRule="auto"/>
              <w:rPr>
                <w:rFonts w:ascii="Times New Roman" w:eastAsia="Times New Roman" w:hAnsi="Times New Roman" w:cs="Times New Roman"/>
                <w:sz w:val="20"/>
                <w:szCs w:val="24"/>
                <w:lang w:eastAsia="fi-FI"/>
              </w:rPr>
            </w:pPr>
          </w:p>
        </w:tc>
        <w:tc>
          <w:tcPr>
            <w:tcW w:w="780" w:type="dxa"/>
            <w:tcBorders>
              <w:top w:val="nil"/>
              <w:left w:val="nil"/>
              <w:bottom w:val="nil"/>
              <w:right w:val="nil"/>
            </w:tcBorders>
            <w:shd w:val="clear" w:color="auto" w:fill="auto"/>
            <w:noWrap/>
            <w:vAlign w:val="bottom"/>
            <w:hideMark/>
          </w:tcPr>
          <w:p w14:paraId="16CE81BB"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0B5397E9"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13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F7893B"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TA 2021</w:t>
            </w:r>
          </w:p>
        </w:tc>
        <w:tc>
          <w:tcPr>
            <w:tcW w:w="1260" w:type="dxa"/>
            <w:tcBorders>
              <w:top w:val="nil"/>
              <w:left w:val="nil"/>
              <w:bottom w:val="nil"/>
              <w:right w:val="nil"/>
            </w:tcBorders>
            <w:shd w:val="clear" w:color="auto" w:fill="auto"/>
            <w:noWrap/>
            <w:vAlign w:val="bottom"/>
            <w:hideMark/>
          </w:tcPr>
          <w:p w14:paraId="53587021"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TS 2022</w:t>
            </w:r>
          </w:p>
        </w:tc>
        <w:tc>
          <w:tcPr>
            <w:tcW w:w="960" w:type="dxa"/>
            <w:tcBorders>
              <w:top w:val="nil"/>
              <w:left w:val="nil"/>
              <w:bottom w:val="nil"/>
              <w:right w:val="nil"/>
            </w:tcBorders>
            <w:shd w:val="clear" w:color="auto" w:fill="auto"/>
            <w:noWrap/>
            <w:vAlign w:val="bottom"/>
            <w:hideMark/>
          </w:tcPr>
          <w:p w14:paraId="02D277B6"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TS 303</w:t>
            </w:r>
          </w:p>
        </w:tc>
      </w:tr>
      <w:tr w:rsidR="00913DF6" w:rsidRPr="00E032DC" w14:paraId="78D335ED" w14:textId="77777777" w:rsidTr="00521220">
        <w:trPr>
          <w:trHeight w:val="288"/>
        </w:trPr>
        <w:tc>
          <w:tcPr>
            <w:tcW w:w="1600" w:type="dxa"/>
            <w:tcBorders>
              <w:top w:val="nil"/>
              <w:left w:val="nil"/>
              <w:bottom w:val="nil"/>
              <w:right w:val="nil"/>
            </w:tcBorders>
            <w:shd w:val="clear" w:color="auto" w:fill="auto"/>
            <w:noWrap/>
            <w:vAlign w:val="bottom"/>
            <w:hideMark/>
          </w:tcPr>
          <w:p w14:paraId="488E8A58" w14:textId="77777777" w:rsidR="00913DF6" w:rsidRPr="00E032DC" w:rsidRDefault="00913DF6" w:rsidP="00521220">
            <w:pPr>
              <w:spacing w:after="0" w:line="240" w:lineRule="auto"/>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Yleishallinto</w:t>
            </w:r>
          </w:p>
        </w:tc>
        <w:tc>
          <w:tcPr>
            <w:tcW w:w="780" w:type="dxa"/>
            <w:tcBorders>
              <w:top w:val="nil"/>
              <w:left w:val="nil"/>
              <w:bottom w:val="nil"/>
              <w:right w:val="nil"/>
            </w:tcBorders>
            <w:shd w:val="clear" w:color="auto" w:fill="auto"/>
            <w:noWrap/>
            <w:vAlign w:val="bottom"/>
            <w:hideMark/>
          </w:tcPr>
          <w:p w14:paraId="1F5E2298"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Menot</w:t>
            </w:r>
          </w:p>
        </w:tc>
        <w:tc>
          <w:tcPr>
            <w:tcW w:w="2380" w:type="dxa"/>
            <w:tcBorders>
              <w:top w:val="nil"/>
              <w:left w:val="nil"/>
              <w:bottom w:val="nil"/>
              <w:right w:val="nil"/>
            </w:tcBorders>
            <w:shd w:val="clear" w:color="auto" w:fill="auto"/>
            <w:noWrap/>
            <w:vAlign w:val="bottom"/>
            <w:hideMark/>
          </w:tcPr>
          <w:p w14:paraId="7961E5C6" w14:textId="77777777" w:rsidR="00913DF6" w:rsidRPr="00E032DC" w:rsidRDefault="00913DF6" w:rsidP="00521220">
            <w:pPr>
              <w:spacing w:after="0" w:line="240" w:lineRule="auto"/>
              <w:rPr>
                <w:rFonts w:ascii="Calibri" w:eastAsia="Times New Roman" w:hAnsi="Calibri" w:cs="Calibri"/>
                <w:color w:val="000000"/>
                <w:sz w:val="22"/>
                <w:lang w:eastAsia="fi-FI"/>
              </w:rPr>
            </w:pP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3BB8E4DA"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 </w:t>
            </w:r>
          </w:p>
        </w:tc>
        <w:tc>
          <w:tcPr>
            <w:tcW w:w="1260" w:type="dxa"/>
            <w:tcBorders>
              <w:top w:val="nil"/>
              <w:left w:val="nil"/>
              <w:bottom w:val="nil"/>
              <w:right w:val="nil"/>
            </w:tcBorders>
            <w:shd w:val="clear" w:color="auto" w:fill="auto"/>
            <w:noWrap/>
            <w:vAlign w:val="bottom"/>
            <w:hideMark/>
          </w:tcPr>
          <w:p w14:paraId="3F3045DA"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960" w:type="dxa"/>
            <w:tcBorders>
              <w:top w:val="nil"/>
              <w:left w:val="nil"/>
              <w:bottom w:val="nil"/>
              <w:right w:val="nil"/>
            </w:tcBorders>
            <w:shd w:val="clear" w:color="auto" w:fill="auto"/>
            <w:noWrap/>
            <w:vAlign w:val="bottom"/>
            <w:hideMark/>
          </w:tcPr>
          <w:p w14:paraId="39F4A10D"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r>
      <w:tr w:rsidR="00913DF6" w:rsidRPr="00E032DC" w14:paraId="7CEDAC5D" w14:textId="77777777" w:rsidTr="00521220">
        <w:trPr>
          <w:trHeight w:val="288"/>
        </w:trPr>
        <w:tc>
          <w:tcPr>
            <w:tcW w:w="1600" w:type="dxa"/>
            <w:tcBorders>
              <w:top w:val="nil"/>
              <w:left w:val="nil"/>
              <w:bottom w:val="nil"/>
              <w:right w:val="nil"/>
            </w:tcBorders>
            <w:shd w:val="clear" w:color="auto" w:fill="auto"/>
            <w:noWrap/>
            <w:vAlign w:val="bottom"/>
            <w:hideMark/>
          </w:tcPr>
          <w:p w14:paraId="59C8CCDE"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07683F96"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455C164A"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Maanhankinta</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78CFE295"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260000</w:t>
            </w:r>
          </w:p>
        </w:tc>
        <w:tc>
          <w:tcPr>
            <w:tcW w:w="1260" w:type="dxa"/>
            <w:tcBorders>
              <w:top w:val="nil"/>
              <w:left w:val="nil"/>
              <w:bottom w:val="nil"/>
              <w:right w:val="nil"/>
            </w:tcBorders>
            <w:shd w:val="clear" w:color="auto" w:fill="auto"/>
            <w:noWrap/>
            <w:vAlign w:val="bottom"/>
            <w:hideMark/>
          </w:tcPr>
          <w:p w14:paraId="5A3455D4"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960" w:type="dxa"/>
            <w:tcBorders>
              <w:top w:val="nil"/>
              <w:left w:val="nil"/>
              <w:bottom w:val="nil"/>
              <w:right w:val="nil"/>
            </w:tcBorders>
            <w:shd w:val="clear" w:color="auto" w:fill="auto"/>
            <w:noWrap/>
            <w:vAlign w:val="bottom"/>
            <w:hideMark/>
          </w:tcPr>
          <w:p w14:paraId="24CD8ED8"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r>
      <w:tr w:rsidR="00913DF6" w:rsidRPr="00E032DC" w14:paraId="2E8C2985" w14:textId="77777777" w:rsidTr="00521220">
        <w:trPr>
          <w:trHeight w:val="288"/>
        </w:trPr>
        <w:tc>
          <w:tcPr>
            <w:tcW w:w="1600" w:type="dxa"/>
            <w:tcBorders>
              <w:top w:val="nil"/>
              <w:left w:val="nil"/>
              <w:bottom w:val="nil"/>
              <w:right w:val="nil"/>
            </w:tcBorders>
            <w:shd w:val="clear" w:color="auto" w:fill="auto"/>
            <w:noWrap/>
            <w:vAlign w:val="bottom"/>
            <w:hideMark/>
          </w:tcPr>
          <w:p w14:paraId="44FA58F5"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53337B81"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7915EF28"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Kunnantoimisto</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5984D5EE"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15000</w:t>
            </w:r>
          </w:p>
        </w:tc>
        <w:tc>
          <w:tcPr>
            <w:tcW w:w="1260" w:type="dxa"/>
            <w:tcBorders>
              <w:top w:val="nil"/>
              <w:left w:val="nil"/>
              <w:bottom w:val="nil"/>
              <w:right w:val="nil"/>
            </w:tcBorders>
            <w:shd w:val="clear" w:color="auto" w:fill="auto"/>
            <w:noWrap/>
            <w:vAlign w:val="bottom"/>
            <w:hideMark/>
          </w:tcPr>
          <w:p w14:paraId="580FE3CD"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960" w:type="dxa"/>
            <w:tcBorders>
              <w:top w:val="nil"/>
              <w:left w:val="nil"/>
              <w:bottom w:val="nil"/>
              <w:right w:val="nil"/>
            </w:tcBorders>
            <w:shd w:val="clear" w:color="auto" w:fill="auto"/>
            <w:noWrap/>
            <w:vAlign w:val="bottom"/>
            <w:hideMark/>
          </w:tcPr>
          <w:p w14:paraId="74A30F3A"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r>
      <w:tr w:rsidR="00913DF6" w:rsidRPr="00E032DC" w14:paraId="484B1A1F" w14:textId="77777777" w:rsidTr="00521220">
        <w:trPr>
          <w:trHeight w:val="288"/>
        </w:trPr>
        <w:tc>
          <w:tcPr>
            <w:tcW w:w="1600" w:type="dxa"/>
            <w:tcBorders>
              <w:top w:val="nil"/>
              <w:left w:val="nil"/>
              <w:bottom w:val="nil"/>
              <w:right w:val="nil"/>
            </w:tcBorders>
            <w:shd w:val="clear" w:color="auto" w:fill="auto"/>
            <w:noWrap/>
            <w:vAlign w:val="bottom"/>
            <w:hideMark/>
          </w:tcPr>
          <w:p w14:paraId="52219A1F"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6E228A0D"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3E16F90D"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Nettisivut</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125D49F5"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10700</w:t>
            </w:r>
          </w:p>
        </w:tc>
        <w:tc>
          <w:tcPr>
            <w:tcW w:w="1260" w:type="dxa"/>
            <w:tcBorders>
              <w:top w:val="nil"/>
              <w:left w:val="nil"/>
              <w:bottom w:val="nil"/>
              <w:right w:val="nil"/>
            </w:tcBorders>
            <w:shd w:val="clear" w:color="auto" w:fill="auto"/>
            <w:noWrap/>
            <w:vAlign w:val="bottom"/>
            <w:hideMark/>
          </w:tcPr>
          <w:p w14:paraId="1FEAF481"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960" w:type="dxa"/>
            <w:tcBorders>
              <w:top w:val="nil"/>
              <w:left w:val="nil"/>
              <w:bottom w:val="nil"/>
              <w:right w:val="nil"/>
            </w:tcBorders>
            <w:shd w:val="clear" w:color="auto" w:fill="auto"/>
            <w:noWrap/>
            <w:vAlign w:val="bottom"/>
            <w:hideMark/>
          </w:tcPr>
          <w:p w14:paraId="13B2AAB2"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r>
      <w:tr w:rsidR="00913DF6" w:rsidRPr="00E032DC" w14:paraId="6E15CF96" w14:textId="77777777" w:rsidTr="00521220">
        <w:trPr>
          <w:trHeight w:val="288"/>
        </w:trPr>
        <w:tc>
          <w:tcPr>
            <w:tcW w:w="1600" w:type="dxa"/>
            <w:tcBorders>
              <w:top w:val="nil"/>
              <w:left w:val="nil"/>
              <w:bottom w:val="nil"/>
              <w:right w:val="nil"/>
            </w:tcBorders>
            <w:shd w:val="clear" w:color="auto" w:fill="auto"/>
            <w:noWrap/>
            <w:vAlign w:val="bottom"/>
            <w:hideMark/>
          </w:tcPr>
          <w:p w14:paraId="0435FE98"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2674ACD7"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6517809B"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Asianhallintaohjelmisto</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51ADA59B"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 </w:t>
            </w:r>
          </w:p>
        </w:tc>
        <w:tc>
          <w:tcPr>
            <w:tcW w:w="1260" w:type="dxa"/>
            <w:tcBorders>
              <w:top w:val="nil"/>
              <w:left w:val="nil"/>
              <w:bottom w:val="nil"/>
              <w:right w:val="nil"/>
            </w:tcBorders>
            <w:shd w:val="clear" w:color="auto" w:fill="auto"/>
            <w:noWrap/>
            <w:vAlign w:val="bottom"/>
            <w:hideMark/>
          </w:tcPr>
          <w:p w14:paraId="0DB70959"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40000</w:t>
            </w:r>
          </w:p>
        </w:tc>
        <w:tc>
          <w:tcPr>
            <w:tcW w:w="960" w:type="dxa"/>
            <w:tcBorders>
              <w:top w:val="nil"/>
              <w:left w:val="nil"/>
              <w:bottom w:val="nil"/>
              <w:right w:val="nil"/>
            </w:tcBorders>
            <w:shd w:val="clear" w:color="auto" w:fill="auto"/>
            <w:noWrap/>
            <w:vAlign w:val="bottom"/>
            <w:hideMark/>
          </w:tcPr>
          <w:p w14:paraId="41EE4D3C"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r>
      <w:tr w:rsidR="00913DF6" w:rsidRPr="00E032DC" w14:paraId="5D078CBE" w14:textId="77777777" w:rsidTr="00521220">
        <w:trPr>
          <w:trHeight w:val="288"/>
        </w:trPr>
        <w:tc>
          <w:tcPr>
            <w:tcW w:w="1600" w:type="dxa"/>
            <w:tcBorders>
              <w:top w:val="nil"/>
              <w:left w:val="nil"/>
              <w:bottom w:val="nil"/>
              <w:right w:val="nil"/>
            </w:tcBorders>
            <w:shd w:val="clear" w:color="auto" w:fill="auto"/>
            <w:noWrap/>
            <w:vAlign w:val="bottom"/>
            <w:hideMark/>
          </w:tcPr>
          <w:p w14:paraId="55C990B2"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30C0E963"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73C643F1"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Tabletit</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1829719C"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7000</w:t>
            </w:r>
          </w:p>
        </w:tc>
        <w:tc>
          <w:tcPr>
            <w:tcW w:w="1260" w:type="dxa"/>
            <w:tcBorders>
              <w:top w:val="nil"/>
              <w:left w:val="nil"/>
              <w:bottom w:val="nil"/>
              <w:right w:val="nil"/>
            </w:tcBorders>
            <w:shd w:val="clear" w:color="auto" w:fill="auto"/>
            <w:noWrap/>
            <w:vAlign w:val="bottom"/>
            <w:hideMark/>
          </w:tcPr>
          <w:p w14:paraId="08F8274C"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960" w:type="dxa"/>
            <w:tcBorders>
              <w:top w:val="nil"/>
              <w:left w:val="nil"/>
              <w:bottom w:val="nil"/>
              <w:right w:val="nil"/>
            </w:tcBorders>
            <w:shd w:val="clear" w:color="auto" w:fill="auto"/>
            <w:noWrap/>
            <w:vAlign w:val="bottom"/>
            <w:hideMark/>
          </w:tcPr>
          <w:p w14:paraId="330835DF"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r>
      <w:tr w:rsidR="00913DF6" w:rsidRPr="00E032DC" w14:paraId="1E7E9337" w14:textId="77777777" w:rsidTr="00521220">
        <w:trPr>
          <w:trHeight w:val="288"/>
        </w:trPr>
        <w:tc>
          <w:tcPr>
            <w:tcW w:w="1600" w:type="dxa"/>
            <w:tcBorders>
              <w:top w:val="nil"/>
              <w:left w:val="nil"/>
              <w:bottom w:val="nil"/>
              <w:right w:val="nil"/>
            </w:tcBorders>
            <w:shd w:val="clear" w:color="auto" w:fill="auto"/>
            <w:noWrap/>
            <w:vAlign w:val="bottom"/>
            <w:hideMark/>
          </w:tcPr>
          <w:p w14:paraId="05AF41F9" w14:textId="77777777" w:rsidR="00913DF6" w:rsidRPr="00E032DC" w:rsidRDefault="00913DF6" w:rsidP="00521220">
            <w:pPr>
              <w:spacing w:after="0" w:line="240" w:lineRule="auto"/>
              <w:jc w:val="center"/>
              <w:rPr>
                <w:rFonts w:ascii="Times New Roman" w:eastAsia="Times New Roman" w:hAnsi="Times New Roman" w:cs="Times New Roman"/>
                <w:sz w:val="20"/>
                <w:szCs w:val="20"/>
                <w:lang w:eastAsia="fi-FI"/>
              </w:rPr>
            </w:pPr>
          </w:p>
        </w:tc>
        <w:tc>
          <w:tcPr>
            <w:tcW w:w="780" w:type="dxa"/>
            <w:tcBorders>
              <w:top w:val="nil"/>
              <w:left w:val="nil"/>
              <w:bottom w:val="nil"/>
              <w:right w:val="nil"/>
            </w:tcBorders>
            <w:shd w:val="clear" w:color="auto" w:fill="auto"/>
            <w:noWrap/>
            <w:vAlign w:val="bottom"/>
            <w:hideMark/>
          </w:tcPr>
          <w:p w14:paraId="2F82A4FB" w14:textId="77777777" w:rsidR="00913DF6" w:rsidRPr="00E032DC" w:rsidRDefault="00913DF6" w:rsidP="00521220">
            <w:pPr>
              <w:spacing w:after="0" w:line="240" w:lineRule="auto"/>
              <w:rPr>
                <w:rFonts w:ascii="Times New Roman" w:eastAsia="Times New Roman" w:hAnsi="Times New Roman" w:cs="Times New Roman"/>
                <w:sz w:val="20"/>
                <w:szCs w:val="20"/>
                <w:lang w:eastAsia="fi-FI"/>
              </w:rPr>
            </w:pPr>
          </w:p>
        </w:tc>
        <w:tc>
          <w:tcPr>
            <w:tcW w:w="2380" w:type="dxa"/>
            <w:tcBorders>
              <w:top w:val="nil"/>
              <w:left w:val="nil"/>
              <w:bottom w:val="nil"/>
              <w:right w:val="nil"/>
            </w:tcBorders>
            <w:shd w:val="clear" w:color="auto" w:fill="auto"/>
            <w:noWrap/>
            <w:vAlign w:val="bottom"/>
            <w:hideMark/>
          </w:tcPr>
          <w:p w14:paraId="41FFFB83"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Yhteensä</w:t>
            </w: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1460B1A0"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292700</w:t>
            </w:r>
          </w:p>
        </w:tc>
        <w:tc>
          <w:tcPr>
            <w:tcW w:w="1260" w:type="dxa"/>
            <w:tcBorders>
              <w:top w:val="nil"/>
              <w:left w:val="nil"/>
              <w:bottom w:val="nil"/>
              <w:right w:val="nil"/>
            </w:tcBorders>
            <w:shd w:val="clear" w:color="auto" w:fill="auto"/>
            <w:noWrap/>
            <w:vAlign w:val="bottom"/>
            <w:hideMark/>
          </w:tcPr>
          <w:p w14:paraId="5C8B0337"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40000</w:t>
            </w:r>
          </w:p>
        </w:tc>
        <w:tc>
          <w:tcPr>
            <w:tcW w:w="960" w:type="dxa"/>
            <w:tcBorders>
              <w:top w:val="nil"/>
              <w:left w:val="nil"/>
              <w:bottom w:val="nil"/>
              <w:right w:val="nil"/>
            </w:tcBorders>
            <w:shd w:val="clear" w:color="auto" w:fill="auto"/>
            <w:noWrap/>
            <w:vAlign w:val="bottom"/>
            <w:hideMark/>
          </w:tcPr>
          <w:p w14:paraId="5C0748BE"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0</w:t>
            </w:r>
          </w:p>
        </w:tc>
      </w:tr>
      <w:tr w:rsidR="00913DF6" w:rsidRPr="00E032DC" w14:paraId="0DE2AB49" w14:textId="77777777" w:rsidTr="00521220">
        <w:trPr>
          <w:trHeight w:val="288"/>
        </w:trPr>
        <w:tc>
          <w:tcPr>
            <w:tcW w:w="1600" w:type="dxa"/>
            <w:tcBorders>
              <w:top w:val="nil"/>
              <w:left w:val="nil"/>
              <w:bottom w:val="nil"/>
              <w:right w:val="nil"/>
            </w:tcBorders>
            <w:shd w:val="clear" w:color="auto" w:fill="auto"/>
            <w:noWrap/>
            <w:vAlign w:val="bottom"/>
            <w:hideMark/>
          </w:tcPr>
          <w:p w14:paraId="78E277EC"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780" w:type="dxa"/>
            <w:tcBorders>
              <w:top w:val="nil"/>
              <w:left w:val="nil"/>
              <w:bottom w:val="nil"/>
              <w:right w:val="nil"/>
            </w:tcBorders>
            <w:shd w:val="clear" w:color="auto" w:fill="auto"/>
            <w:noWrap/>
            <w:vAlign w:val="bottom"/>
            <w:hideMark/>
          </w:tcPr>
          <w:p w14:paraId="231F9BDC" w14:textId="77777777" w:rsidR="00913DF6" w:rsidRPr="00E032DC" w:rsidRDefault="00913DF6" w:rsidP="00521220">
            <w:pPr>
              <w:spacing w:after="0" w:line="240" w:lineRule="auto"/>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Tulot</w:t>
            </w:r>
          </w:p>
        </w:tc>
        <w:tc>
          <w:tcPr>
            <w:tcW w:w="2380" w:type="dxa"/>
            <w:tcBorders>
              <w:top w:val="nil"/>
              <w:left w:val="nil"/>
              <w:bottom w:val="nil"/>
              <w:right w:val="nil"/>
            </w:tcBorders>
            <w:shd w:val="clear" w:color="auto" w:fill="auto"/>
            <w:noWrap/>
            <w:vAlign w:val="bottom"/>
            <w:hideMark/>
          </w:tcPr>
          <w:p w14:paraId="0EAB1BF8" w14:textId="77777777" w:rsidR="00913DF6" w:rsidRPr="00E032DC" w:rsidRDefault="00913DF6" w:rsidP="00521220">
            <w:pPr>
              <w:spacing w:after="0" w:line="240" w:lineRule="auto"/>
              <w:rPr>
                <w:rFonts w:ascii="Calibri" w:eastAsia="Times New Roman" w:hAnsi="Calibri" w:cs="Calibri"/>
                <w:color w:val="000000"/>
                <w:sz w:val="22"/>
                <w:lang w:eastAsia="fi-FI"/>
              </w:rPr>
            </w:pP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555CB2CA"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0</w:t>
            </w:r>
          </w:p>
        </w:tc>
        <w:tc>
          <w:tcPr>
            <w:tcW w:w="1260" w:type="dxa"/>
            <w:tcBorders>
              <w:top w:val="nil"/>
              <w:left w:val="nil"/>
              <w:bottom w:val="nil"/>
              <w:right w:val="nil"/>
            </w:tcBorders>
            <w:shd w:val="clear" w:color="auto" w:fill="auto"/>
            <w:noWrap/>
            <w:vAlign w:val="bottom"/>
            <w:hideMark/>
          </w:tcPr>
          <w:p w14:paraId="6043C3FA"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0</w:t>
            </w:r>
          </w:p>
        </w:tc>
        <w:tc>
          <w:tcPr>
            <w:tcW w:w="960" w:type="dxa"/>
            <w:tcBorders>
              <w:top w:val="nil"/>
              <w:left w:val="nil"/>
              <w:bottom w:val="nil"/>
              <w:right w:val="nil"/>
            </w:tcBorders>
            <w:shd w:val="clear" w:color="auto" w:fill="auto"/>
            <w:noWrap/>
            <w:vAlign w:val="bottom"/>
            <w:hideMark/>
          </w:tcPr>
          <w:p w14:paraId="22C22A6F"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r w:rsidRPr="00E032DC">
              <w:rPr>
                <w:rFonts w:ascii="Calibri" w:eastAsia="Times New Roman" w:hAnsi="Calibri" w:cs="Calibri"/>
                <w:color w:val="000000"/>
                <w:sz w:val="22"/>
                <w:lang w:eastAsia="fi-FI"/>
              </w:rPr>
              <w:t>0</w:t>
            </w:r>
          </w:p>
        </w:tc>
      </w:tr>
      <w:tr w:rsidR="00913DF6" w:rsidRPr="00E032DC" w14:paraId="61D043F8" w14:textId="77777777" w:rsidTr="00521220">
        <w:trPr>
          <w:trHeight w:val="288"/>
        </w:trPr>
        <w:tc>
          <w:tcPr>
            <w:tcW w:w="1600" w:type="dxa"/>
            <w:tcBorders>
              <w:top w:val="nil"/>
              <w:left w:val="nil"/>
              <w:bottom w:val="nil"/>
              <w:right w:val="nil"/>
            </w:tcBorders>
            <w:shd w:val="clear" w:color="auto" w:fill="auto"/>
            <w:noWrap/>
            <w:vAlign w:val="bottom"/>
            <w:hideMark/>
          </w:tcPr>
          <w:p w14:paraId="4BD1C385" w14:textId="77777777" w:rsidR="00913DF6" w:rsidRPr="00E032DC" w:rsidRDefault="00913DF6" w:rsidP="00521220">
            <w:pPr>
              <w:spacing w:after="0" w:line="240" w:lineRule="auto"/>
              <w:jc w:val="center"/>
              <w:rPr>
                <w:rFonts w:ascii="Calibri" w:eastAsia="Times New Roman" w:hAnsi="Calibri" w:cs="Calibri"/>
                <w:color w:val="000000"/>
                <w:sz w:val="22"/>
                <w:lang w:eastAsia="fi-FI"/>
              </w:rPr>
            </w:pPr>
          </w:p>
        </w:tc>
        <w:tc>
          <w:tcPr>
            <w:tcW w:w="780" w:type="dxa"/>
            <w:tcBorders>
              <w:top w:val="nil"/>
              <w:left w:val="nil"/>
              <w:bottom w:val="nil"/>
              <w:right w:val="nil"/>
            </w:tcBorders>
            <w:shd w:val="clear" w:color="auto" w:fill="auto"/>
            <w:noWrap/>
            <w:vAlign w:val="bottom"/>
            <w:hideMark/>
          </w:tcPr>
          <w:p w14:paraId="4946A167" w14:textId="77777777" w:rsidR="00913DF6" w:rsidRPr="00E032DC" w:rsidRDefault="00913DF6" w:rsidP="00521220">
            <w:pPr>
              <w:spacing w:after="0" w:line="240" w:lineRule="auto"/>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Netto</w:t>
            </w:r>
          </w:p>
        </w:tc>
        <w:tc>
          <w:tcPr>
            <w:tcW w:w="2380" w:type="dxa"/>
            <w:tcBorders>
              <w:top w:val="nil"/>
              <w:left w:val="nil"/>
              <w:bottom w:val="nil"/>
              <w:right w:val="nil"/>
            </w:tcBorders>
            <w:shd w:val="clear" w:color="auto" w:fill="auto"/>
            <w:noWrap/>
            <w:vAlign w:val="bottom"/>
            <w:hideMark/>
          </w:tcPr>
          <w:p w14:paraId="35AACF53" w14:textId="77777777" w:rsidR="00913DF6" w:rsidRPr="00E032DC" w:rsidRDefault="00913DF6" w:rsidP="00521220">
            <w:pPr>
              <w:spacing w:after="0" w:line="240" w:lineRule="auto"/>
              <w:rPr>
                <w:rFonts w:ascii="Calibri" w:eastAsia="Times New Roman" w:hAnsi="Calibri" w:cs="Calibri"/>
                <w:b/>
                <w:bCs/>
                <w:color w:val="000000"/>
                <w:sz w:val="22"/>
                <w:lang w:eastAsia="fi-FI"/>
              </w:rPr>
            </w:pPr>
          </w:p>
        </w:tc>
        <w:tc>
          <w:tcPr>
            <w:tcW w:w="1360" w:type="dxa"/>
            <w:tcBorders>
              <w:top w:val="nil"/>
              <w:left w:val="single" w:sz="4" w:space="0" w:color="auto"/>
              <w:bottom w:val="single" w:sz="4" w:space="0" w:color="auto"/>
              <w:right w:val="single" w:sz="4" w:space="0" w:color="auto"/>
            </w:tcBorders>
            <w:shd w:val="clear" w:color="000000" w:fill="D9E1F2"/>
            <w:noWrap/>
            <w:vAlign w:val="bottom"/>
            <w:hideMark/>
          </w:tcPr>
          <w:p w14:paraId="74E073FF"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-292700</w:t>
            </w:r>
          </w:p>
        </w:tc>
        <w:tc>
          <w:tcPr>
            <w:tcW w:w="1260" w:type="dxa"/>
            <w:tcBorders>
              <w:top w:val="nil"/>
              <w:left w:val="nil"/>
              <w:bottom w:val="nil"/>
              <w:right w:val="nil"/>
            </w:tcBorders>
            <w:shd w:val="clear" w:color="auto" w:fill="auto"/>
            <w:noWrap/>
            <w:vAlign w:val="bottom"/>
            <w:hideMark/>
          </w:tcPr>
          <w:p w14:paraId="61CEFD76"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-40000</w:t>
            </w:r>
          </w:p>
        </w:tc>
        <w:tc>
          <w:tcPr>
            <w:tcW w:w="960" w:type="dxa"/>
            <w:tcBorders>
              <w:top w:val="nil"/>
              <w:left w:val="nil"/>
              <w:bottom w:val="nil"/>
              <w:right w:val="nil"/>
            </w:tcBorders>
            <w:shd w:val="clear" w:color="auto" w:fill="auto"/>
            <w:noWrap/>
            <w:vAlign w:val="bottom"/>
            <w:hideMark/>
          </w:tcPr>
          <w:p w14:paraId="5CDE9393" w14:textId="77777777" w:rsidR="00913DF6" w:rsidRPr="00E032DC" w:rsidRDefault="00913DF6" w:rsidP="00521220">
            <w:pPr>
              <w:spacing w:after="0" w:line="240" w:lineRule="auto"/>
              <w:jc w:val="center"/>
              <w:rPr>
                <w:rFonts w:ascii="Calibri" w:eastAsia="Times New Roman" w:hAnsi="Calibri" w:cs="Calibri"/>
                <w:b/>
                <w:bCs/>
                <w:color w:val="000000"/>
                <w:sz w:val="22"/>
                <w:lang w:eastAsia="fi-FI"/>
              </w:rPr>
            </w:pPr>
            <w:r w:rsidRPr="00E032DC">
              <w:rPr>
                <w:rFonts w:ascii="Calibri" w:eastAsia="Times New Roman" w:hAnsi="Calibri" w:cs="Calibri"/>
                <w:b/>
                <w:bCs/>
                <w:color w:val="000000"/>
                <w:sz w:val="22"/>
                <w:lang w:eastAsia="fi-FI"/>
              </w:rPr>
              <w:t>0</w:t>
            </w:r>
          </w:p>
        </w:tc>
      </w:tr>
    </w:tbl>
    <w:p w14:paraId="0DCC6B92" w14:textId="77777777" w:rsidR="00913DF6" w:rsidRDefault="00913DF6" w:rsidP="00913DF6"/>
    <w:p w14:paraId="6A80FF3B" w14:textId="77777777" w:rsidR="00A852F5" w:rsidRDefault="00A852F5"/>
    <w:sectPr w:rsidR="00A852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96"/>
    <w:rsid w:val="00516A3E"/>
    <w:rsid w:val="00913DF6"/>
    <w:rsid w:val="009F0996"/>
    <w:rsid w:val="00A852F5"/>
    <w:rsid w:val="00BE3E5F"/>
    <w:rsid w:val="00CE7F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B527"/>
  <w15:chartTrackingRefBased/>
  <w15:docId w15:val="{7A35D668-8A39-4EFF-9432-2BE4AA60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6A3E"/>
    <w:rPr>
      <w:rFonts w:ascii="Arial" w:hAnsi="Arial"/>
      <w:sz w:val="24"/>
    </w:rPr>
  </w:style>
  <w:style w:type="paragraph" w:styleId="Otsikko1">
    <w:name w:val="heading 1"/>
    <w:basedOn w:val="Normaali"/>
    <w:next w:val="Normaali"/>
    <w:link w:val="Otsikko1Char"/>
    <w:uiPriority w:val="9"/>
    <w:qFormat/>
    <w:rsid w:val="00BE3E5F"/>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BE3E5F"/>
    <w:pPr>
      <w:keepNext/>
      <w:keepLines/>
      <w:spacing w:before="40" w:after="0"/>
      <w:outlineLvl w:val="1"/>
    </w:pPr>
    <w:rPr>
      <w:rFonts w:eastAsiaTheme="majorEastAsia" w:cstheme="majorBidi"/>
      <w:szCs w:val="26"/>
    </w:rPr>
  </w:style>
  <w:style w:type="paragraph" w:styleId="Otsikko3">
    <w:name w:val="heading 3"/>
    <w:basedOn w:val="Normaali"/>
    <w:next w:val="Normaali"/>
    <w:link w:val="Otsikko3Char"/>
    <w:uiPriority w:val="9"/>
    <w:unhideWhenUsed/>
    <w:qFormat/>
    <w:rsid w:val="00BE3E5F"/>
    <w:pPr>
      <w:keepNext/>
      <w:keepLines/>
      <w:spacing w:before="40" w:after="0"/>
      <w:outlineLvl w:val="2"/>
    </w:pPr>
    <w:rPr>
      <w:rFonts w:eastAsiaTheme="majorEastAsia" w:cstheme="majorBidi"/>
      <w:b/>
      <w:color w:val="000000" w:themeColor="text1"/>
      <w:szCs w:val="24"/>
    </w:rPr>
  </w:style>
  <w:style w:type="paragraph" w:styleId="Otsikko4">
    <w:name w:val="heading 4"/>
    <w:basedOn w:val="Normaali"/>
    <w:next w:val="Normaali"/>
    <w:link w:val="Otsikko4Char"/>
    <w:uiPriority w:val="9"/>
    <w:unhideWhenUsed/>
    <w:qFormat/>
    <w:rsid w:val="00BE3E5F"/>
    <w:pPr>
      <w:keepNext/>
      <w:keepLines/>
      <w:spacing w:before="40" w:after="0"/>
      <w:outlineLvl w:val="3"/>
    </w:pPr>
    <w:rPr>
      <w:rFonts w:eastAsiaTheme="majorEastAsia" w:cstheme="majorBidi"/>
      <w:b/>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3E5F"/>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BE3E5F"/>
    <w:rPr>
      <w:rFonts w:ascii="Arial" w:eastAsiaTheme="majorEastAsia" w:hAnsi="Arial" w:cstheme="majorBidi"/>
      <w:sz w:val="24"/>
      <w:szCs w:val="26"/>
    </w:rPr>
  </w:style>
  <w:style w:type="character" w:customStyle="1" w:styleId="Otsikko3Char">
    <w:name w:val="Otsikko 3 Char"/>
    <w:basedOn w:val="Kappaleenoletusfontti"/>
    <w:link w:val="Otsikko3"/>
    <w:uiPriority w:val="9"/>
    <w:rsid w:val="00BE3E5F"/>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BE3E5F"/>
    <w:rPr>
      <w:rFonts w:ascii="Arial" w:eastAsiaTheme="majorEastAsia" w:hAnsi="Arial" w:cstheme="majorBidi"/>
      <w:b/>
      <w:i/>
      <w:iCs/>
      <w:color w:val="000000" w:themeColor="text1"/>
    </w:rPr>
  </w:style>
  <w:style w:type="table" w:styleId="TaulukkoRuudukko">
    <w:name w:val="Table Grid"/>
    <w:basedOn w:val="Normaalitaulukko"/>
    <w:uiPriority w:val="39"/>
    <w:rsid w:val="009F099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maruudukkotaulukko5-korostus1">
    <w:name w:val="Grid Table 5 Dark Accent 1"/>
    <w:basedOn w:val="Normaalitaulukko"/>
    <w:uiPriority w:val="50"/>
    <w:rsid w:val="009F0996"/>
    <w:pPr>
      <w:spacing w:after="0" w:line="240" w:lineRule="auto"/>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F63C-13A4-4275-AF5C-066CFE66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6053</Characters>
  <Application>Microsoft Office Word</Application>
  <DocSecurity>0</DocSecurity>
  <Lines>50</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Tuikka</dc:creator>
  <cp:keywords/>
  <dc:description/>
  <cp:lastModifiedBy>Susanna Tuikka</cp:lastModifiedBy>
  <cp:revision>2</cp:revision>
  <dcterms:created xsi:type="dcterms:W3CDTF">2020-12-07T16:15:00Z</dcterms:created>
  <dcterms:modified xsi:type="dcterms:W3CDTF">2020-12-07T16:15:00Z</dcterms:modified>
</cp:coreProperties>
</file>